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31343">
      <w:pPr>
        <w:spacing w:line="360" w:lineRule="auto"/>
        <w:jc w:val="center"/>
        <w:rPr>
          <w:rFonts w:ascii="宋体" w:hAnsi="宋体" w:cs="宋体"/>
          <w:b/>
          <w:bCs/>
          <w:color w:val="000000" w:themeColor="text1"/>
          <w:sz w:val="32"/>
          <w:szCs w:val="32"/>
        </w:rPr>
      </w:pPr>
      <w:r>
        <w:rPr>
          <w:rFonts w:hint="eastAsia" w:ascii="宋体" w:hAnsi="宋体" w:cs="宋体"/>
          <w:b/>
          <w:bCs/>
          <w:color w:val="000000" w:themeColor="text1"/>
          <w:sz w:val="32"/>
          <w:szCs w:val="32"/>
        </w:rPr>
        <w:t>海南师范大学202</w:t>
      </w:r>
      <w:r>
        <w:rPr>
          <w:rFonts w:hint="eastAsia" w:ascii="宋体" w:hAnsi="宋体" w:cs="宋体"/>
          <w:b/>
          <w:bCs/>
          <w:color w:val="000000" w:themeColor="text1"/>
          <w:sz w:val="32"/>
          <w:szCs w:val="32"/>
          <w:lang w:val="en-US" w:eastAsia="zh-CN"/>
        </w:rPr>
        <w:t>5</w:t>
      </w:r>
      <w:bookmarkStart w:id="0" w:name="_GoBack"/>
      <w:bookmarkEnd w:id="0"/>
      <w:r>
        <w:rPr>
          <w:rFonts w:hint="eastAsia" w:ascii="宋体" w:hAnsi="宋体" w:cs="宋体"/>
          <w:b/>
          <w:bCs/>
          <w:color w:val="000000" w:themeColor="text1"/>
          <w:sz w:val="32"/>
          <w:szCs w:val="32"/>
        </w:rPr>
        <w:t>年全国硕士研究生招生考试</w:t>
      </w:r>
    </w:p>
    <w:p w14:paraId="255D4267">
      <w:pPr>
        <w:spacing w:line="360" w:lineRule="auto"/>
        <w:jc w:val="center"/>
        <w:rPr>
          <w:rFonts w:ascii="宋体" w:hAnsi="宋体" w:cs="宋体"/>
          <w:b/>
          <w:bCs/>
          <w:color w:val="FF0000"/>
          <w:sz w:val="32"/>
          <w:szCs w:val="32"/>
        </w:rPr>
      </w:pPr>
      <w:r>
        <w:rPr>
          <w:rFonts w:hint="eastAsia" w:ascii="宋体" w:hAnsi="宋体" w:cs="宋体"/>
          <w:b/>
          <w:bCs/>
          <w:color w:val="000000" w:themeColor="text1"/>
          <w:sz w:val="32"/>
          <w:szCs w:val="32"/>
        </w:rPr>
        <w:t>复试笔试科目考试大纲</w:t>
      </w:r>
      <w:r>
        <w:rPr>
          <w:rFonts w:hint="eastAsia" w:ascii="宋体" w:hAnsi="宋体" w:cs="宋体"/>
          <w:b/>
          <w:bCs/>
          <w:color w:val="FF0000"/>
          <w:sz w:val="32"/>
          <w:szCs w:val="32"/>
        </w:rPr>
        <w:t xml:space="preserve"> </w:t>
      </w:r>
    </w:p>
    <w:p w14:paraId="782CC7B4">
      <w:pPr>
        <w:spacing w:line="360" w:lineRule="auto"/>
        <w:jc w:val="center"/>
        <w:rPr>
          <w:rFonts w:ascii="宋体" w:hAnsi="宋体" w:cs="宋体"/>
          <w:color w:val="000000" w:themeColor="text1"/>
          <w:sz w:val="28"/>
          <w:szCs w:val="28"/>
        </w:rPr>
      </w:pPr>
      <w:r>
        <w:rPr>
          <w:rFonts w:hint="eastAsia" w:ascii="宋体" w:hAnsi="宋体" w:cs="宋体"/>
          <w:color w:val="000000" w:themeColor="text1"/>
          <w:sz w:val="28"/>
          <w:szCs w:val="28"/>
        </w:rPr>
        <w:t>考试科目代码：无             考试科目名称：</w:t>
      </w:r>
      <w:r>
        <w:rPr>
          <w:rFonts w:hint="eastAsia" w:ascii="宋体" w:hAnsi="宋体" w:cs="宋体"/>
          <w:color w:val="000000" w:themeColor="text1"/>
          <w:kern w:val="0"/>
          <w:sz w:val="28"/>
          <w:szCs w:val="28"/>
          <w:lang w:bidi="hi-IN"/>
        </w:rPr>
        <w:t>应用光学</w:t>
      </w:r>
    </w:p>
    <w:p w14:paraId="3E41E4A7">
      <w:pPr>
        <w:rPr>
          <w:rFonts w:ascii="宋体" w:hAnsi="宋体" w:cs="宋体"/>
          <w:sz w:val="28"/>
          <w:szCs w:val="28"/>
        </w:rPr>
      </w:pPr>
      <w:r>
        <w:rPr>
          <w:rFonts w:hint="eastAsia" w:ascii="宋体" w:hAnsi="宋体" w:cs="宋体"/>
          <w:szCs w:val="21"/>
        </w:rPr>
        <w:t>﹡﹡﹡﹡﹡﹡﹡﹡﹡﹡﹡﹡﹡﹡﹡﹡﹡﹡﹡﹡﹡﹡﹡﹡﹡﹡﹡﹡﹡﹡﹡﹡﹡﹡﹡﹡﹡﹡﹡</w:t>
      </w:r>
    </w:p>
    <w:p w14:paraId="3AB49A7C">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一、考试性质</w:t>
      </w:r>
    </w:p>
    <w:p w14:paraId="72AF60AE">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应用光学》是光电信息工程（专业型）硕士生的入学专业复试科目，主要考察考生对应用光学基本原理、基本知识、基本理论和基本方法的理解和掌握，对共轴球面光学系统、理想光学系统、平面光学系统、光束限制和像差基础理论的理解和掌握，以及运用像质评价对典型光学系统的评价能力。</w:t>
      </w:r>
    </w:p>
    <w:p w14:paraId="7774F08A">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二、评价目标</w:t>
      </w:r>
    </w:p>
    <w:p w14:paraId="087365A0">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（一）掌握应用光学的基本概念和基础知识。</w:t>
      </w:r>
    </w:p>
    <w:p w14:paraId="0F63BE2B">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（二）理解应用光学的基本理论和基本方法。</w:t>
      </w:r>
    </w:p>
    <w:p w14:paraId="15D9BF15">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（三）运用应用光学的基本理论和方法来分析和解决光学应用中的实际问题。</w:t>
      </w:r>
    </w:p>
    <w:p w14:paraId="282D5C8E">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三、考试范围</w:t>
      </w:r>
    </w:p>
    <w:p w14:paraId="39440605">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（一）几何光学的基本概念和基本定律</w:t>
      </w:r>
    </w:p>
    <w:p w14:paraId="7F60C5E1">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几何光学的基本概念；几何光学的基本定律和全反射；费马原理和马吕斯定律。</w:t>
      </w:r>
    </w:p>
    <w:p w14:paraId="2C229F2D">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（二）共轴球面光学系统</w:t>
      </w:r>
    </w:p>
    <w:p w14:paraId="78D7C336">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实际光线的光路计算；近轴光线的光路计算和近轴光学的基本公式；共轴球面系统的成像；球面反射镜。</w:t>
      </w:r>
    </w:p>
    <w:p w14:paraId="7F8946A8">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（三）理想光学系统</w:t>
      </w:r>
    </w:p>
    <w:p w14:paraId="3DAF68BE">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理想光学系统的概念及性质；理想光学系统的基点和基面、焦距；理想光学系统的成像；理想光学系统的组合；透镜。</w:t>
      </w:r>
    </w:p>
    <w:p w14:paraId="555807FD">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（四）平面与平面系统</w:t>
      </w:r>
    </w:p>
    <w:p w14:paraId="28968DDC">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平面反射镜；平行平板；反射棱镜；折射棱镜和光楔；平面系统成像方向的判断。</w:t>
      </w:r>
    </w:p>
    <w:p w14:paraId="5CEA4372">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（五）光学系统的光束限制</w:t>
      </w:r>
    </w:p>
    <w:p w14:paraId="023827AC">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孔径光阑；视场光阑；渐晕；远心光路和场镜；景深和焦深。</w:t>
      </w:r>
    </w:p>
    <w:p w14:paraId="0CAB4BD8">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（六）像差基础理论</w:t>
      </w:r>
    </w:p>
    <w:p w14:paraId="2AE86EE3">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球差；彗差；像散；场曲；畸变；色差。</w:t>
      </w:r>
    </w:p>
    <w:p w14:paraId="52312D5D">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（七）像质评价</w:t>
      </w:r>
    </w:p>
    <w:p w14:paraId="770153A2">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几何像差；波像差；波像差对中心点亮度的影响；分辨率；光学传递函数。</w:t>
      </w:r>
    </w:p>
    <w:p w14:paraId="60527F6C">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（八）典型光学系统</w:t>
      </w:r>
    </w:p>
    <w:p w14:paraId="600BF3BF">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眼睛；放大镜；显微镜；望远镜。</w:t>
      </w:r>
    </w:p>
    <w:p w14:paraId="40651E42">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四、考试形式和试卷结构</w:t>
      </w:r>
    </w:p>
    <w:p w14:paraId="34EBBDF2">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（一）试卷成绩及考试时间</w:t>
      </w:r>
    </w:p>
    <w:p w14:paraId="3CE3DF81">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本试卷满分为100分，考试时间为120分钟。</w:t>
      </w:r>
    </w:p>
    <w:p w14:paraId="3EFBABD1">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（二）答题方式</w:t>
      </w:r>
    </w:p>
    <w:p w14:paraId="23DA8D6D">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答题方式为闭卷、笔试。</w:t>
      </w:r>
    </w:p>
    <w:p w14:paraId="0210314F">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（三）试卷结构</w:t>
      </w:r>
    </w:p>
    <w:p w14:paraId="77C73ECB">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名词解释题；填空题；简答题；综合题。</w:t>
      </w:r>
    </w:p>
    <w:p w14:paraId="723B044F">
      <w:pPr>
        <w:keepNext w:val="0"/>
        <w:keepLines w:val="0"/>
        <w:pageBreakBefore w:val="0"/>
        <w:kinsoku/>
        <w:wordWrap/>
        <w:overflowPunct/>
        <w:topLinePunct w:val="0"/>
        <w:autoSpaceDE/>
        <w:autoSpaceDN/>
        <w:bidi w:val="0"/>
        <w:adjustRightInd/>
        <w:snapToGrid/>
        <w:ind w:firstLine="562" w:firstLineChars="200"/>
        <w:textAlignment w:val="auto"/>
        <w:rPr>
          <w:rFonts w:ascii="宋体" w:hAnsi="宋体" w:cs="宋体"/>
          <w:b/>
          <w:bCs/>
          <w:sz w:val="28"/>
          <w:szCs w:val="28"/>
        </w:rPr>
      </w:pPr>
      <w:r>
        <w:rPr>
          <w:rFonts w:hint="eastAsia" w:ascii="宋体" w:hAnsi="宋体" w:cs="宋体"/>
          <w:b/>
          <w:bCs/>
          <w:sz w:val="28"/>
          <w:szCs w:val="28"/>
        </w:rPr>
        <w:t>五、主要参考书目</w:t>
      </w:r>
    </w:p>
    <w:p w14:paraId="64A3AE68">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1.刘晨主编：《应用光学》，机械工业出版社</w:t>
      </w:r>
      <w:r>
        <w:rPr>
          <w:rFonts w:ascii="宋体" w:hAnsi="宋体" w:cs="宋体"/>
          <w:sz w:val="28"/>
          <w:szCs w:val="28"/>
        </w:rPr>
        <w:t>2019</w:t>
      </w:r>
      <w:r>
        <w:rPr>
          <w:rFonts w:hint="eastAsia" w:ascii="宋体" w:hAnsi="宋体" w:cs="宋体"/>
          <w:sz w:val="28"/>
          <w:szCs w:val="28"/>
        </w:rPr>
        <w:t>年。</w:t>
      </w:r>
    </w:p>
    <w:p w14:paraId="688553B7">
      <w:pPr>
        <w:keepNext w:val="0"/>
        <w:keepLines w:val="0"/>
        <w:pageBreakBefore w:val="0"/>
        <w:kinsoku/>
        <w:wordWrap/>
        <w:overflowPunct/>
        <w:topLinePunct w:val="0"/>
        <w:autoSpaceDE/>
        <w:autoSpaceDN/>
        <w:bidi w:val="0"/>
        <w:adjustRightInd/>
        <w:snapToGrid/>
        <w:ind w:firstLine="560" w:firstLineChars="200"/>
        <w:textAlignment w:val="auto"/>
        <w:rPr>
          <w:rFonts w:ascii="宋体" w:hAnsi="宋体" w:cs="宋体"/>
          <w:sz w:val="28"/>
          <w:szCs w:val="28"/>
        </w:rPr>
      </w:pPr>
      <w:r>
        <w:rPr>
          <w:rFonts w:hint="eastAsia" w:ascii="宋体" w:hAnsi="宋体" w:cs="宋体"/>
          <w:sz w:val="28"/>
          <w:szCs w:val="28"/>
        </w:rPr>
        <w:t>2.郁道银、谈恒英主编：《工程光学》上篇几何光学（第</w:t>
      </w:r>
      <w:r>
        <w:rPr>
          <w:rFonts w:ascii="宋体" w:hAnsi="宋体" w:cs="宋体"/>
          <w:sz w:val="28"/>
          <w:szCs w:val="28"/>
        </w:rPr>
        <w:t>4</w:t>
      </w:r>
      <w:r>
        <w:rPr>
          <w:rFonts w:hint="eastAsia" w:ascii="宋体" w:hAnsi="宋体" w:cs="宋体"/>
          <w:sz w:val="28"/>
          <w:szCs w:val="28"/>
        </w:rPr>
        <w:t>版），机械工业出版社</w:t>
      </w:r>
      <w:r>
        <w:rPr>
          <w:rFonts w:ascii="宋体" w:hAnsi="宋体" w:cs="宋体"/>
          <w:sz w:val="28"/>
          <w:szCs w:val="28"/>
        </w:rPr>
        <w:t>2016</w:t>
      </w:r>
      <w:r>
        <w:rPr>
          <w:rFonts w:hint="eastAsia" w:ascii="宋体" w:hAnsi="宋体" w:cs="宋体"/>
          <w:sz w:val="28"/>
          <w:szCs w:val="28"/>
        </w:rPr>
        <w:t>年。</w:t>
      </w:r>
    </w:p>
    <w:p w14:paraId="5197C10B">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0A4C13F3">
      <w:pPr>
        <w:keepNext w:val="0"/>
        <w:keepLines w:val="0"/>
        <w:pageBreakBefore w:val="0"/>
        <w:widowControl/>
        <w:kinsoku/>
        <w:wordWrap/>
        <w:overflowPunct/>
        <w:topLinePunct w:val="0"/>
        <w:autoSpaceDE/>
        <w:autoSpaceDN/>
        <w:bidi w:val="0"/>
        <w:adjustRightInd/>
        <w:snapToGrid/>
        <w:spacing w:before="100" w:beforeAutospacing="1" w:after="100" w:afterAutospacing="1"/>
        <w:ind w:firstLine="360" w:firstLineChars="200"/>
        <w:jc w:val="left"/>
        <w:textAlignment w:val="auto"/>
        <w:rPr>
          <w:rFonts w:ascii="Verdana" w:hAnsi="Verdana" w:cs="宋体"/>
          <w:kern w:val="0"/>
          <w:sz w:val="18"/>
          <w:szCs w:val="18"/>
        </w:rPr>
      </w:pPr>
    </w:p>
    <w:p w14:paraId="3B11A7C5">
      <w:pPr>
        <w:keepNext w:val="0"/>
        <w:keepLines w:val="0"/>
        <w:pageBreakBefore w:val="0"/>
        <w:kinsoku/>
        <w:wordWrap/>
        <w:overflowPunct/>
        <w:topLinePunct w:val="0"/>
        <w:autoSpaceDE/>
        <w:autoSpaceDN/>
        <w:bidi w:val="0"/>
        <w:adjustRightInd/>
        <w:snapToGrid/>
        <w:ind w:firstLine="420" w:firstLineChars="200"/>
        <w:textAlignment w:val="auto"/>
      </w:pPr>
    </w:p>
    <w:p w14:paraId="28820017">
      <w:pPr>
        <w:keepNext w:val="0"/>
        <w:keepLines w:val="0"/>
        <w:pageBreakBefore w:val="0"/>
        <w:kinsoku/>
        <w:wordWrap/>
        <w:overflowPunct/>
        <w:topLinePunct w:val="0"/>
        <w:autoSpaceDE/>
        <w:autoSpaceDN/>
        <w:bidi w:val="0"/>
        <w:adjustRightInd/>
        <w:snapToGrid/>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docVars>
    <w:docVar w:name="commondata" w:val="eyJoZGlkIjoiYTM4ODRkZTU5ZDJmZDQ1OTNhODRkNzc3MzdkNWRmMzcifQ=="/>
  </w:docVars>
  <w:rsids>
    <w:rsidRoot w:val="000618D6"/>
    <w:rsid w:val="000004FA"/>
    <w:rsid w:val="000618D6"/>
    <w:rsid w:val="000706BA"/>
    <w:rsid w:val="001A7949"/>
    <w:rsid w:val="00270FE2"/>
    <w:rsid w:val="00330E58"/>
    <w:rsid w:val="0037423B"/>
    <w:rsid w:val="00637B77"/>
    <w:rsid w:val="007E44BE"/>
    <w:rsid w:val="008A7612"/>
    <w:rsid w:val="009418E3"/>
    <w:rsid w:val="009764CF"/>
    <w:rsid w:val="009E5A96"/>
    <w:rsid w:val="009E69AD"/>
    <w:rsid w:val="00A17AA7"/>
    <w:rsid w:val="00AA04B2"/>
    <w:rsid w:val="00B4574A"/>
    <w:rsid w:val="00BA01E3"/>
    <w:rsid w:val="00BF3DD2"/>
    <w:rsid w:val="00EC4C05"/>
    <w:rsid w:val="00EE6202"/>
    <w:rsid w:val="0B441F0D"/>
    <w:rsid w:val="1D265AB4"/>
    <w:rsid w:val="28542118"/>
    <w:rsid w:val="523F66C4"/>
    <w:rsid w:val="642F1FE1"/>
    <w:rsid w:val="755E3979"/>
    <w:rsid w:val="78B870B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rFonts w:ascii="Times New Roman" w:hAnsi="Times New Roman" w:eastAsia="宋体" w:cs="Times New Roman"/>
      <w:kern w:val="2"/>
      <w:sz w:val="18"/>
      <w:szCs w:val="18"/>
    </w:rPr>
  </w:style>
  <w:style w:type="character" w:customStyle="1" w:styleId="7">
    <w:name w:val="页脚 Char"/>
    <w:basedOn w:val="5"/>
    <w:link w:val="2"/>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Template>Normal.dotm</Template>
  <Company>1</Company>
  <Pages>3</Pages>
  <Words>810</Words>
  <Characters>825</Characters>
  <Lines>6</Lines>
  <Paragraphs>1</Paragraphs>
  <TotalTime>12</TotalTime>
  <ScaleCrop>false</ScaleCrop>
  <LinksUpToDate>false</LinksUpToDate>
  <CharactersWithSpaces>839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2017-07-13T01:41:00Z</dcterms:created>
  <dc:creator>1 1</dc:creator>
  <cp:lastModifiedBy>LENOVO</cp:lastModifiedBy>
  <dcterms:modified xsi:type="dcterms:W3CDTF">2024-09-29T03:18:33Z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E1059F3E78874573A37AEC71F2EF19D1_12</vt:lpwstr>
  </property>
</Properties>
</file>