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lang w:val="en-US" w:eastAsia="zh-CN"/>
          <w14:textFill>
            <w14:solidFill>
              <w14:schemeClr w14:val="tx1"/>
            </w14:solidFill>
          </w14:textFill>
        </w:rPr>
        <w:t>复试</w:t>
      </w:r>
      <w:r>
        <w:rPr>
          <w:rFonts w:hint="eastAsia" w:ascii="仿宋" w:hAnsi="仿宋" w:eastAsia="仿宋" w:cs="仿宋"/>
          <w:color w:val="000000" w:themeColor="text1"/>
          <w:sz w:val="28"/>
          <w:szCs w:val="28"/>
          <w14:textFill>
            <w14:solidFill>
              <w14:schemeClr w14:val="tx1"/>
            </w14:solidFill>
          </w14:textFill>
        </w:rPr>
        <w:t>]              考试科目名称：</w:t>
      </w:r>
      <w:r>
        <w:rPr>
          <w:rFonts w:hint="eastAsia" w:ascii="仿宋" w:hAnsi="仿宋" w:eastAsia="仿宋" w:cs="仿宋"/>
          <w:color w:val="000000" w:themeColor="text1"/>
          <w:kern w:val="0"/>
          <w:sz w:val="28"/>
          <w:szCs w:val="28"/>
          <w:lang w:bidi="hi-IN"/>
          <w14:textFill>
            <w14:solidFill>
              <w14:schemeClr w14:val="tx1"/>
            </w14:solidFill>
          </w14:textFill>
        </w:rPr>
        <w:t>微观经济学</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pStyle w:val="8"/>
        <w:ind w:firstLine="560"/>
        <w:contextualSpacing/>
        <w:jc w:val="left"/>
        <w:rPr>
          <w:rFonts w:hint="eastAsia" w:ascii="仿宋" w:hAnsi="仿宋" w:eastAsia="仿宋"/>
          <w:sz w:val="28"/>
          <w:szCs w:val="28"/>
        </w:rPr>
      </w:pPr>
      <w:r>
        <w:rPr>
          <w:rFonts w:hint="eastAsia" w:ascii="仿宋" w:hAnsi="仿宋" w:eastAsia="仿宋"/>
          <w:sz w:val="28"/>
          <w:szCs w:val="28"/>
        </w:rPr>
        <w:t>本试卷满分为100分，考试时间为</w:t>
      </w:r>
      <w:r>
        <w:rPr>
          <w:rFonts w:hint="eastAsia" w:ascii="仿宋" w:hAnsi="仿宋" w:eastAsia="仿宋"/>
          <w:sz w:val="28"/>
          <w:szCs w:val="28"/>
          <w:lang w:val="en-US" w:eastAsia="zh-CN"/>
        </w:rPr>
        <w:t>120</w:t>
      </w:r>
      <w:r>
        <w:rPr>
          <w:rFonts w:hint="eastAsia" w:ascii="仿宋" w:hAnsi="仿宋" w:eastAsia="仿宋"/>
          <w:sz w:val="28"/>
          <w:szCs w:val="28"/>
        </w:rPr>
        <w:t>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bookmarkStart w:id="0" w:name="_GoBack"/>
      <w:bookmarkEnd w:id="0"/>
    </w:p>
    <w:p>
      <w:pPr>
        <w:pStyle w:val="8"/>
        <w:ind w:firstLine="560"/>
        <w:contextualSpacing/>
        <w:jc w:val="left"/>
        <w:rPr>
          <w:rFonts w:hint="eastAsia" w:ascii="仿宋" w:hAnsi="仿宋" w:eastAsia="仿宋" w:cs="仿宋"/>
          <w:sz w:val="28"/>
          <w:szCs w:val="28"/>
        </w:rPr>
      </w:pPr>
      <w:r>
        <w:rPr>
          <w:rFonts w:hint="eastAsia" w:ascii="仿宋" w:hAnsi="仿宋" w:eastAsia="仿宋"/>
          <w:sz w:val="28"/>
          <w:szCs w:val="28"/>
        </w:rPr>
        <w:t>试卷由试题和答题纸组成；答案必须写在答题纸（由考点提供）相应的位置上。</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pStyle w:val="8"/>
        <w:ind w:firstLine="560"/>
        <w:contextualSpacing/>
        <w:jc w:val="left"/>
        <w:rPr>
          <w:rFonts w:hint="eastAsia" w:ascii="仿宋" w:hAnsi="仿宋" w:eastAsia="仿宋"/>
          <w:sz w:val="28"/>
          <w:szCs w:val="28"/>
        </w:rPr>
      </w:pPr>
      <w:r>
        <w:rPr>
          <w:rFonts w:hint="eastAsia" w:ascii="仿宋" w:hAnsi="仿宋" w:eastAsia="仿宋"/>
          <w:sz w:val="28"/>
          <w:szCs w:val="28"/>
        </w:rPr>
        <w:t>简答题：30分</w:t>
      </w:r>
    </w:p>
    <w:p>
      <w:pPr>
        <w:pStyle w:val="8"/>
        <w:ind w:firstLine="560"/>
        <w:contextualSpacing/>
        <w:jc w:val="left"/>
        <w:rPr>
          <w:rFonts w:hint="eastAsia" w:ascii="仿宋" w:hAnsi="仿宋" w:eastAsia="仿宋"/>
          <w:sz w:val="28"/>
          <w:szCs w:val="28"/>
        </w:rPr>
      </w:pPr>
      <w:r>
        <w:rPr>
          <w:rFonts w:hint="eastAsia" w:ascii="仿宋" w:hAnsi="仿宋" w:eastAsia="仿宋"/>
          <w:sz w:val="28"/>
          <w:szCs w:val="28"/>
        </w:rPr>
        <w:t>计算题：10分</w:t>
      </w:r>
    </w:p>
    <w:p>
      <w:pPr>
        <w:pStyle w:val="8"/>
        <w:ind w:firstLine="560"/>
        <w:contextualSpacing/>
        <w:jc w:val="left"/>
        <w:rPr>
          <w:rFonts w:ascii="仿宋" w:hAnsi="仿宋" w:eastAsia="仿宋" w:cs="仿宋"/>
          <w:sz w:val="28"/>
          <w:szCs w:val="28"/>
        </w:rPr>
      </w:pPr>
      <w:r>
        <w:rPr>
          <w:rFonts w:hint="eastAsia" w:ascii="仿宋" w:hAnsi="仿宋" w:eastAsia="仿宋"/>
          <w:sz w:val="28"/>
          <w:szCs w:val="28"/>
        </w:rPr>
        <w:t>分析论述题：60分</w:t>
      </w:r>
      <w:r>
        <w:rPr>
          <w:rFonts w:hint="eastAsia" w:ascii="仿宋" w:hAnsi="仿宋" w:eastAsia="仿宋" w:cs="仿宋"/>
          <w:sz w:val="28"/>
          <w:szCs w:val="28"/>
        </w:rPr>
        <w:t xml:space="preserve">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1.系统掌握微观经济学的基本原理、基本概念和主要理论。</w:t>
      </w:r>
    </w:p>
    <w:p>
      <w:pPr>
        <w:ind w:firstLine="560" w:firstLineChars="200"/>
        <w:rPr>
          <w:rFonts w:ascii="仿宋" w:hAnsi="仿宋" w:eastAsia="仿宋" w:cs="仿宋"/>
          <w:sz w:val="28"/>
          <w:szCs w:val="28"/>
        </w:rPr>
      </w:pPr>
      <w:r>
        <w:rPr>
          <w:rFonts w:hint="eastAsia" w:ascii="仿宋" w:hAnsi="仿宋" w:eastAsia="仿宋" w:cs="仿宋"/>
          <w:sz w:val="28"/>
          <w:szCs w:val="28"/>
        </w:rPr>
        <w:t>2.理解微观经济学理论体系的研究方法。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3.运用微观经济学的基本原理和研究方法分析和解决现实中的经济问题。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（一）需求、供给与均衡价格</w:t>
      </w:r>
    </w:p>
    <w:p>
      <w:pPr>
        <w:ind w:firstLine="560" w:firstLineChars="200"/>
        <w:rPr>
          <w:rFonts w:hint="eastAsia" w:ascii="仿宋" w:hAnsi="仿宋" w:eastAsia="仿宋" w:cs="仿宋"/>
          <w:sz w:val="28"/>
          <w:szCs w:val="28"/>
        </w:rPr>
      </w:pPr>
      <w:r>
        <w:rPr>
          <w:rFonts w:hint="eastAsia" w:ascii="仿宋" w:hAnsi="仿宋" w:eastAsia="仿宋"/>
          <w:sz w:val="28"/>
          <w:szCs w:val="28"/>
        </w:rPr>
        <w:t>1、</w:t>
      </w:r>
      <w:r>
        <w:rPr>
          <w:rFonts w:hint="eastAsia" w:ascii="仿宋" w:hAnsi="仿宋" w:eastAsia="仿宋" w:cs="仿宋"/>
          <w:sz w:val="28"/>
          <w:szCs w:val="28"/>
        </w:rPr>
        <w:t>需求</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2、供给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3、均衡价格</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4、需求弹性和供给弹性</w:t>
      </w:r>
    </w:p>
    <w:p>
      <w:pPr>
        <w:ind w:firstLine="560" w:firstLineChars="200"/>
        <w:rPr>
          <w:rFonts w:ascii="仿宋" w:hAnsi="仿宋" w:eastAsia="仿宋" w:cs="仿宋"/>
          <w:sz w:val="28"/>
          <w:szCs w:val="28"/>
        </w:rPr>
      </w:pPr>
      <w:r>
        <w:rPr>
          <w:rFonts w:hint="eastAsia" w:ascii="仿宋" w:hAnsi="仿宋" w:eastAsia="仿宋" w:cs="仿宋"/>
          <w:sz w:val="28"/>
          <w:szCs w:val="28"/>
        </w:rPr>
        <w:t>5、运用需求、供给和均衡价格的事例</w:t>
      </w:r>
    </w:p>
    <w:p>
      <w:pPr>
        <w:ind w:firstLine="560" w:firstLineChars="200"/>
        <w:rPr>
          <w:rFonts w:ascii="仿宋" w:hAnsi="仿宋" w:eastAsia="仿宋" w:cs="仿宋"/>
          <w:sz w:val="28"/>
          <w:szCs w:val="28"/>
        </w:rPr>
      </w:pPr>
      <w:r>
        <w:rPr>
          <w:rFonts w:hint="eastAsia" w:ascii="仿宋" w:hAnsi="仿宋" w:eastAsia="仿宋" w:cs="仿宋"/>
          <w:sz w:val="28"/>
          <w:szCs w:val="28"/>
        </w:rPr>
        <w:t>（二）消费者选择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1、效用论概述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2、无差异曲线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3、效用最大化与消费者选择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4、价格变化和收入变化对消费者均衡的影响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5、替代效应和收入效应</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6、市场需求曲线</w:t>
      </w:r>
    </w:p>
    <w:p>
      <w:pPr>
        <w:ind w:firstLine="560" w:firstLineChars="200"/>
        <w:rPr>
          <w:rFonts w:ascii="仿宋" w:hAnsi="仿宋" w:eastAsia="仿宋" w:cs="仿宋"/>
          <w:sz w:val="28"/>
          <w:szCs w:val="28"/>
        </w:rPr>
      </w:pPr>
      <w:r>
        <w:rPr>
          <w:rFonts w:hint="eastAsia" w:ascii="仿宋" w:hAnsi="仿宋" w:eastAsia="仿宋" w:cs="仿宋"/>
          <w:sz w:val="28"/>
          <w:szCs w:val="28"/>
        </w:rPr>
        <w:t>7、不确定性和选择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（三）生产技术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1、厂商和生产的基本概念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2、短期生产函数</w:t>
      </w:r>
    </w:p>
    <w:p>
      <w:pPr>
        <w:ind w:firstLine="560" w:firstLineChars="200"/>
        <w:rPr>
          <w:rFonts w:ascii="仿宋" w:hAnsi="仿宋" w:eastAsia="仿宋" w:cs="仿宋"/>
          <w:sz w:val="28"/>
          <w:szCs w:val="28"/>
        </w:rPr>
      </w:pPr>
      <w:r>
        <w:rPr>
          <w:rFonts w:hint="eastAsia" w:ascii="仿宋" w:hAnsi="仿宋" w:eastAsia="仿宋" w:cs="仿宋"/>
          <w:sz w:val="28"/>
          <w:szCs w:val="28"/>
        </w:rPr>
        <w:t>3、长期生产函数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（四）成本</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1、成本的基本概念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2、成本最小化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3、短期成本曲线</w:t>
      </w:r>
    </w:p>
    <w:p>
      <w:pPr>
        <w:ind w:firstLine="560" w:firstLineChars="200"/>
        <w:rPr>
          <w:rFonts w:ascii="仿宋" w:hAnsi="仿宋" w:eastAsia="仿宋" w:cs="仿宋"/>
          <w:sz w:val="28"/>
          <w:szCs w:val="28"/>
        </w:rPr>
      </w:pPr>
      <w:r>
        <w:rPr>
          <w:rFonts w:hint="eastAsia" w:ascii="仿宋" w:hAnsi="仿宋" w:eastAsia="仿宋" w:cs="仿宋"/>
          <w:sz w:val="28"/>
          <w:szCs w:val="28"/>
        </w:rPr>
        <w:t>4、长期成本曲线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（五）完全竞争市场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1、厂商和市场的类型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2、利润最大化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3、完全竞争厂商的短期均衡和短期供给曲线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4、完全竞争行业的短期供给曲线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5、完全竞争厂商的长期均衡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6、完全竞争行业的长期供给曲线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7、完全竞争市场的短期均衡和长期均衡</w:t>
      </w:r>
    </w:p>
    <w:p>
      <w:pPr>
        <w:ind w:firstLine="560" w:firstLineChars="200"/>
        <w:rPr>
          <w:rFonts w:ascii="仿宋" w:hAnsi="仿宋" w:eastAsia="仿宋" w:cs="仿宋"/>
          <w:sz w:val="28"/>
          <w:szCs w:val="28"/>
        </w:rPr>
      </w:pPr>
      <w:r>
        <w:rPr>
          <w:rFonts w:hint="eastAsia" w:ascii="仿宋" w:hAnsi="仿宋" w:eastAsia="仿宋" w:cs="仿宋"/>
          <w:sz w:val="28"/>
          <w:szCs w:val="28"/>
        </w:rPr>
        <w:t>8、完全竞争市场的福利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（六）不完全竞争市场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1、垄断</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2、垄断竞争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3、寡头</w:t>
      </w:r>
    </w:p>
    <w:p>
      <w:pPr>
        <w:ind w:firstLine="560" w:firstLineChars="200"/>
        <w:rPr>
          <w:rFonts w:ascii="仿宋" w:hAnsi="仿宋" w:eastAsia="仿宋" w:cs="仿宋"/>
          <w:sz w:val="28"/>
          <w:szCs w:val="28"/>
        </w:rPr>
      </w:pPr>
      <w:r>
        <w:rPr>
          <w:rFonts w:hint="eastAsia" w:ascii="仿宋" w:hAnsi="仿宋" w:eastAsia="仿宋" w:cs="仿宋"/>
          <w:sz w:val="28"/>
          <w:szCs w:val="28"/>
        </w:rPr>
        <w:t>4、不同市场的比较</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（七）生产要素价格的决定</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1、完全竞争厂商使用生产要素的原则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2、完全竞争厂商对生产要素的需求曲线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3、从厂商的需求曲线到市场的需求曲线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4、对供给方面的概述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5、劳动供给曲线和工资率的决定</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6、土地的供给曲线和地租的决定</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7、资本的供给曲线和利息的决定</w:t>
      </w:r>
    </w:p>
    <w:p>
      <w:pPr>
        <w:ind w:firstLine="560" w:firstLineChars="200"/>
        <w:rPr>
          <w:rFonts w:ascii="仿宋" w:hAnsi="仿宋" w:eastAsia="仿宋" w:cs="仿宋"/>
          <w:sz w:val="28"/>
          <w:szCs w:val="28"/>
        </w:rPr>
      </w:pPr>
      <w:r>
        <w:rPr>
          <w:rFonts w:hint="eastAsia" w:ascii="仿宋" w:hAnsi="仿宋" w:eastAsia="仿宋" w:cs="仿宋"/>
          <w:sz w:val="28"/>
          <w:szCs w:val="28"/>
        </w:rPr>
        <w:t>8、洛伦兹曲线和基尼系数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（八）一般均衡论和福利经济学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1、一般均衡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2、经济效率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3、交换的帕累托最优条件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4、生产的帕累托最优条件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5、交换和生产的帕累托最优条件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6、完全竞争和帕累托最优状态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7、社会福利函数</w:t>
      </w:r>
    </w:p>
    <w:p>
      <w:pPr>
        <w:ind w:firstLine="560" w:firstLineChars="200"/>
        <w:rPr>
          <w:rFonts w:ascii="仿宋" w:hAnsi="仿宋" w:eastAsia="仿宋" w:cs="仿宋"/>
          <w:sz w:val="28"/>
          <w:szCs w:val="28"/>
        </w:rPr>
      </w:pPr>
      <w:r>
        <w:rPr>
          <w:rFonts w:hint="eastAsia" w:ascii="仿宋" w:hAnsi="仿宋" w:eastAsia="仿宋" w:cs="仿宋"/>
          <w:sz w:val="28"/>
          <w:szCs w:val="28"/>
        </w:rPr>
        <w:t>8、效率与公平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（九）市场失灵和微观经济政策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1、不完全竞争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2、外部影响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3、公共物品和公共资源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4、信息的不完全和不对称</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1、《西方经济学》上册（第2版），《西方经济学》编写组，高等教育出版社，2019。</w:t>
      </w:r>
    </w:p>
    <w:p>
      <w:pPr>
        <w:ind w:firstLine="560" w:firstLineChars="200"/>
        <w:rPr>
          <w:rFonts w:ascii="仿宋" w:hAnsi="仿宋" w:eastAsia="仿宋" w:cs="仿宋"/>
          <w:sz w:val="28"/>
          <w:szCs w:val="28"/>
        </w:rPr>
      </w:pPr>
      <w:r>
        <w:rPr>
          <w:rFonts w:hint="eastAsia" w:ascii="仿宋" w:hAnsi="仿宋" w:eastAsia="仿宋" w:cs="仿宋"/>
          <w:sz w:val="28"/>
          <w:szCs w:val="28"/>
        </w:rPr>
        <w:t>2、《西方经济学》微观部分（第7版），高鸿业主编，中国人民大学出版社，2020。</w:t>
      </w: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auto"/>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086551"/>
    <w:rsid w:val="00097B73"/>
    <w:rsid w:val="000B1142"/>
    <w:rsid w:val="001057A6"/>
    <w:rsid w:val="00125D5C"/>
    <w:rsid w:val="00133349"/>
    <w:rsid w:val="001471B1"/>
    <w:rsid w:val="001B539C"/>
    <w:rsid w:val="00230965"/>
    <w:rsid w:val="00270FE2"/>
    <w:rsid w:val="002D5AE4"/>
    <w:rsid w:val="00330E58"/>
    <w:rsid w:val="0037423B"/>
    <w:rsid w:val="0046378F"/>
    <w:rsid w:val="00500903"/>
    <w:rsid w:val="00507E52"/>
    <w:rsid w:val="00527413"/>
    <w:rsid w:val="0061730C"/>
    <w:rsid w:val="00631576"/>
    <w:rsid w:val="00636F55"/>
    <w:rsid w:val="00637B77"/>
    <w:rsid w:val="0065523E"/>
    <w:rsid w:val="00690661"/>
    <w:rsid w:val="006C63C6"/>
    <w:rsid w:val="007E44BE"/>
    <w:rsid w:val="0082574B"/>
    <w:rsid w:val="008361F0"/>
    <w:rsid w:val="008A3AED"/>
    <w:rsid w:val="008A7612"/>
    <w:rsid w:val="008E680E"/>
    <w:rsid w:val="009418E3"/>
    <w:rsid w:val="009556EB"/>
    <w:rsid w:val="009764CF"/>
    <w:rsid w:val="009E5A96"/>
    <w:rsid w:val="00A17AA7"/>
    <w:rsid w:val="00A3058F"/>
    <w:rsid w:val="00A30928"/>
    <w:rsid w:val="00A93B3D"/>
    <w:rsid w:val="00AC6F34"/>
    <w:rsid w:val="00AF201A"/>
    <w:rsid w:val="00AF6FD7"/>
    <w:rsid w:val="00B11BFC"/>
    <w:rsid w:val="00B83891"/>
    <w:rsid w:val="00BB58CB"/>
    <w:rsid w:val="00BC1064"/>
    <w:rsid w:val="00BC18FA"/>
    <w:rsid w:val="00D23185"/>
    <w:rsid w:val="00D860FE"/>
    <w:rsid w:val="00ED4542"/>
    <w:rsid w:val="00F22D3E"/>
    <w:rsid w:val="00FE5C90"/>
    <w:rsid w:val="0412384C"/>
    <w:rsid w:val="10955ED9"/>
    <w:rsid w:val="1D265AB4"/>
    <w:rsid w:val="1F6A0702"/>
    <w:rsid w:val="60EE360B"/>
    <w:rsid w:val="62713EEC"/>
    <w:rsid w:val="669F328C"/>
    <w:rsid w:val="755E3979"/>
    <w:rsid w:val="7B6331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4</Pages>
  <Words>162</Words>
  <Characters>925</Characters>
  <Lines>7</Lines>
  <Paragraphs>2</Paragraphs>
  <TotalTime>402</TotalTime>
  <ScaleCrop>false</ScaleCrop>
  <LinksUpToDate>false</LinksUpToDate>
  <CharactersWithSpaces>1085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聂晓燕</cp:lastModifiedBy>
  <dcterms:modified xsi:type="dcterms:W3CDTF">2021-06-08T03:54:24Z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0F54FD290FFA4D47AAF33296668E862A</vt:lpwstr>
  </property>
</Properties>
</file>