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考试科目代码：[-]          考试科目名称：经济学基础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本试卷满分为150分，考试时间为100分钟。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名词解释题；简答题；分析论述题等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经济学</w:t>
      </w:r>
      <w:r>
        <w:rPr>
          <w:rFonts w:hint="eastAsia" w:ascii="仿宋" w:hAnsi="仿宋" w:eastAsia="仿宋" w:cs="仿宋"/>
          <w:sz w:val="28"/>
          <w:szCs w:val="28"/>
        </w:rPr>
        <w:t>的基本概念和基础知识。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2.理解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经济学</w:t>
      </w:r>
      <w:r>
        <w:rPr>
          <w:rFonts w:hint="eastAsia" w:ascii="仿宋" w:hAnsi="仿宋" w:eastAsia="仿宋" w:cs="仿宋"/>
          <w:sz w:val="28"/>
          <w:szCs w:val="28"/>
        </w:rPr>
        <w:t>的基本理论和基本方法。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</w:rPr>
        <w:t>3.运用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经济学</w:t>
      </w:r>
      <w:r>
        <w:rPr>
          <w:rFonts w:hint="eastAsia" w:ascii="仿宋" w:hAnsi="仿宋" w:eastAsia="仿宋" w:cs="仿宋"/>
          <w:sz w:val="28"/>
          <w:szCs w:val="28"/>
        </w:rPr>
        <w:t>的基本理论和方法来分析和解决现实问题。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bookmarkEnd w:id="0"/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</w:t>
      </w:r>
      <w:r>
        <w:rPr>
          <w:rFonts w:ascii="仿宋" w:hAnsi="仿宋" w:eastAsia="仿宋" w:cs="仿宋"/>
          <w:sz w:val="28"/>
          <w:szCs w:val="28"/>
        </w:rPr>
        <w:t>商品供求与均衡价格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商品与货币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需求和需求的变动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供给和供给的变动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</w:t>
      </w:r>
      <w:r>
        <w:rPr>
          <w:rFonts w:ascii="仿宋" w:hAnsi="仿宋" w:eastAsia="仿宋" w:cs="仿宋"/>
          <w:sz w:val="28"/>
          <w:szCs w:val="28"/>
        </w:rPr>
        <w:t>需求和供给的弹性理论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</w:t>
      </w:r>
      <w:r>
        <w:rPr>
          <w:rFonts w:ascii="仿宋" w:hAnsi="仿宋" w:eastAsia="仿宋" w:cs="仿宋"/>
          <w:sz w:val="28"/>
          <w:szCs w:val="28"/>
        </w:rPr>
        <w:t>均衡价格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</w:t>
      </w:r>
      <w:r>
        <w:rPr>
          <w:rFonts w:ascii="仿宋" w:hAnsi="仿宋" w:eastAsia="仿宋" w:cs="仿宋"/>
          <w:sz w:val="28"/>
          <w:szCs w:val="28"/>
        </w:rPr>
        <w:t>蛛网模型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</w:t>
      </w:r>
      <w:r>
        <w:rPr>
          <w:rFonts w:ascii="仿宋" w:hAnsi="仿宋" w:eastAsia="仿宋" w:cs="仿宋"/>
          <w:sz w:val="28"/>
          <w:szCs w:val="28"/>
        </w:rPr>
        <w:t>消费者行为理论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基数效用论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序数效用论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跨时期选择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</w:t>
      </w:r>
      <w:r>
        <w:rPr>
          <w:rFonts w:ascii="仿宋" w:hAnsi="仿宋" w:eastAsia="仿宋" w:cs="仿宋"/>
          <w:sz w:val="28"/>
          <w:szCs w:val="28"/>
        </w:rPr>
        <w:t>不确定情况下消费者行为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</w:t>
      </w:r>
      <w:r>
        <w:rPr>
          <w:rFonts w:ascii="仿宋" w:hAnsi="仿宋" w:eastAsia="仿宋" w:cs="仿宋"/>
          <w:sz w:val="28"/>
          <w:szCs w:val="28"/>
        </w:rPr>
        <w:t>企业、生产和成本理论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企业及其目标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生产函数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短期生产函数和要素合理投入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</w:t>
      </w:r>
      <w:r>
        <w:rPr>
          <w:rFonts w:ascii="仿宋" w:hAnsi="仿宋" w:eastAsia="仿宋" w:cs="仿宋"/>
          <w:sz w:val="28"/>
          <w:szCs w:val="28"/>
        </w:rPr>
        <w:t>长期生产函数和规模经济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</w:t>
      </w:r>
      <w:r>
        <w:rPr>
          <w:rFonts w:ascii="仿宋" w:hAnsi="仿宋" w:eastAsia="仿宋" w:cs="仿宋"/>
          <w:sz w:val="28"/>
          <w:szCs w:val="28"/>
        </w:rPr>
        <w:t>成本和成本函数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</w:t>
      </w:r>
      <w:r>
        <w:rPr>
          <w:rFonts w:ascii="仿宋" w:hAnsi="仿宋" w:eastAsia="仿宋" w:cs="仿宋"/>
          <w:sz w:val="28"/>
          <w:szCs w:val="28"/>
        </w:rPr>
        <w:t>短期成本和长期成本函数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</w:t>
      </w:r>
      <w:r>
        <w:rPr>
          <w:rFonts w:ascii="仿宋" w:hAnsi="仿宋" w:eastAsia="仿宋" w:cs="仿宋"/>
          <w:sz w:val="28"/>
          <w:szCs w:val="28"/>
        </w:rPr>
        <w:t>传统成本管理与现代成本管理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（四）</w:t>
      </w:r>
      <w:r>
        <w:rPr>
          <w:rFonts w:ascii="仿宋" w:hAnsi="仿宋" w:eastAsia="仿宋" w:cs="仿宋"/>
          <w:sz w:val="28"/>
          <w:szCs w:val="28"/>
        </w:rPr>
        <w:t>完全竞争和完全垄断市场中价格和产量决定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有关厂商行为的几个概念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完全竞争市场中价格和产量的决定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完全垄断市场中价格和产量的决定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（五）</w:t>
      </w:r>
      <w:r>
        <w:rPr>
          <w:rFonts w:ascii="仿宋" w:hAnsi="仿宋" w:eastAsia="仿宋" w:cs="仿宋"/>
          <w:sz w:val="28"/>
          <w:szCs w:val="28"/>
        </w:rPr>
        <w:t>垄断竞争市场与寡头市场中价格和产量的决定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垄断竞争市场中价格和产量的决定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寡头垄断市场中价格和产量的决定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（六）</w:t>
      </w:r>
      <w:r>
        <w:rPr>
          <w:rFonts w:ascii="仿宋" w:hAnsi="仿宋" w:eastAsia="仿宋" w:cs="仿宋"/>
          <w:sz w:val="28"/>
          <w:szCs w:val="28"/>
        </w:rPr>
        <w:t xml:space="preserve"> 博弈论和信息经济学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博弈论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信息经济学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（七）</w:t>
      </w:r>
      <w:r>
        <w:rPr>
          <w:rFonts w:ascii="仿宋" w:hAnsi="仿宋" w:eastAsia="仿宋" w:cs="仿宋"/>
          <w:sz w:val="28"/>
          <w:szCs w:val="28"/>
        </w:rPr>
        <w:t>要素价格与收入分配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生产要素的需求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生产要素的供给和价格决定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贫富差别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（八）</w:t>
      </w:r>
      <w:r>
        <w:rPr>
          <w:rFonts w:ascii="仿宋" w:hAnsi="仿宋" w:eastAsia="仿宋" w:cs="仿宋"/>
          <w:sz w:val="28"/>
          <w:szCs w:val="28"/>
        </w:rPr>
        <w:t>市场效率与微观经济政策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市场效率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市场失灵和微观经济政策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公共选择与政府失灵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（九）</w:t>
      </w:r>
      <w:r>
        <w:rPr>
          <w:rFonts w:ascii="仿宋" w:hAnsi="仿宋" w:eastAsia="仿宋" w:cs="仿宋"/>
          <w:sz w:val="28"/>
          <w:szCs w:val="28"/>
        </w:rPr>
        <w:t>国民收入核算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从微观经济学到宏观经济学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国内生产总值的概念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有关核算国民收入的基本原理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</w:t>
      </w:r>
      <w:r>
        <w:rPr>
          <w:rFonts w:ascii="仿宋" w:hAnsi="仿宋" w:eastAsia="仿宋" w:cs="仿宋"/>
          <w:sz w:val="28"/>
          <w:szCs w:val="28"/>
        </w:rPr>
        <w:t>核算国民收入的两种基本方法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（十）</w:t>
      </w:r>
      <w:r>
        <w:rPr>
          <w:rFonts w:ascii="仿宋" w:hAnsi="仿宋" w:eastAsia="仿宋" w:cs="仿宋"/>
          <w:sz w:val="28"/>
          <w:szCs w:val="28"/>
        </w:rPr>
        <w:t>国民收入决定：收入—支出模型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宏观均衡的概念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消费函数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两部门经济国民收入的决定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</w:t>
      </w:r>
      <w:r>
        <w:rPr>
          <w:rFonts w:ascii="仿宋" w:hAnsi="仿宋" w:eastAsia="仿宋" w:cs="仿宋"/>
          <w:sz w:val="28"/>
          <w:szCs w:val="28"/>
        </w:rPr>
        <w:t>三部门和四部门经济国民收入的决定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</w:t>
      </w:r>
      <w:r>
        <w:rPr>
          <w:rFonts w:ascii="仿宋" w:hAnsi="仿宋" w:eastAsia="仿宋" w:cs="仿宋"/>
          <w:sz w:val="28"/>
          <w:szCs w:val="28"/>
        </w:rPr>
        <w:t>潜在国民收入与缺口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（十一）</w:t>
      </w:r>
      <w:r>
        <w:rPr>
          <w:rFonts w:ascii="仿宋" w:hAnsi="仿宋" w:eastAsia="仿宋" w:cs="仿宋"/>
          <w:sz w:val="28"/>
          <w:szCs w:val="28"/>
        </w:rPr>
        <w:t>国民收入决定：IS-LM模型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货币供求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利率决定、投资与收入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产品市场的均衡与IS曲线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</w:t>
      </w:r>
      <w:r>
        <w:rPr>
          <w:rFonts w:ascii="仿宋" w:hAnsi="仿宋" w:eastAsia="仿宋" w:cs="仿宋"/>
          <w:sz w:val="28"/>
          <w:szCs w:val="28"/>
        </w:rPr>
        <w:t>货币市场的均衡与LM曲线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</w:t>
      </w:r>
      <w:r>
        <w:rPr>
          <w:rFonts w:ascii="仿宋" w:hAnsi="仿宋" w:eastAsia="仿宋" w:cs="仿宋"/>
          <w:sz w:val="28"/>
          <w:szCs w:val="28"/>
        </w:rPr>
        <w:t>产品市场和货币市场的同时均衡与IS-LM模型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（十二）</w:t>
      </w:r>
      <w:r>
        <w:rPr>
          <w:rFonts w:ascii="仿宋" w:hAnsi="仿宋" w:eastAsia="仿宋" w:cs="仿宋"/>
          <w:sz w:val="28"/>
          <w:szCs w:val="28"/>
        </w:rPr>
        <w:t>国民收入决定：AD-AS模型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总需求函数（AD函数）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总供给函数（AS函数）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总供给—总需求（AD-AS）模型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（十三）</w:t>
      </w:r>
      <w:r>
        <w:rPr>
          <w:rFonts w:ascii="仿宋" w:hAnsi="仿宋" w:eastAsia="仿宋" w:cs="仿宋"/>
          <w:sz w:val="28"/>
          <w:szCs w:val="28"/>
        </w:rPr>
        <w:t>通货膨胀与失业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通货膨胀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失业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通货膨胀和失业的关系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（十四）</w:t>
      </w:r>
      <w:r>
        <w:rPr>
          <w:rFonts w:ascii="仿宋" w:hAnsi="仿宋" w:eastAsia="仿宋" w:cs="仿宋"/>
          <w:sz w:val="28"/>
          <w:szCs w:val="28"/>
        </w:rPr>
        <w:t>宏观经济政策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财政政策及其效果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货币政策及其效果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财政政策和货币政策的混合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</w:t>
      </w:r>
      <w:r>
        <w:rPr>
          <w:rFonts w:ascii="仿宋" w:hAnsi="仿宋" w:eastAsia="仿宋" w:cs="仿宋"/>
          <w:sz w:val="28"/>
          <w:szCs w:val="28"/>
        </w:rPr>
        <w:t>供给管理政策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（十五）</w:t>
      </w:r>
      <w:r>
        <w:rPr>
          <w:rFonts w:ascii="仿宋" w:hAnsi="仿宋" w:eastAsia="仿宋" w:cs="仿宋"/>
          <w:sz w:val="28"/>
          <w:szCs w:val="28"/>
        </w:rPr>
        <w:t>经济增长、经济发展与经济周期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经济增长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经济发展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经济周期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</w:t>
      </w:r>
      <w:r>
        <w:rPr>
          <w:rFonts w:ascii="仿宋" w:hAnsi="仿宋" w:eastAsia="仿宋" w:cs="仿宋"/>
          <w:sz w:val="28"/>
          <w:szCs w:val="28"/>
        </w:rPr>
        <w:t>《西方经济学</w:t>
      </w:r>
      <w:r>
        <w:rPr>
          <w:rFonts w:hint="eastAsia" w:ascii="仿宋" w:hAnsi="仿宋" w:eastAsia="仿宋" w:cs="仿宋"/>
          <w:sz w:val="28"/>
          <w:szCs w:val="28"/>
        </w:rPr>
        <w:t>（上册、下册）</w:t>
      </w:r>
      <w:r>
        <w:rPr>
          <w:rFonts w:ascii="仿宋" w:hAnsi="仿宋" w:eastAsia="仿宋" w:cs="仿宋"/>
          <w:sz w:val="28"/>
          <w:szCs w:val="28"/>
        </w:rPr>
        <w:t>》（第</w:t>
      </w: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版）</w:t>
      </w:r>
      <w:r>
        <w:rPr>
          <w:rFonts w:hint="eastAsia" w:ascii="仿宋" w:hAnsi="仿宋" w:eastAsia="仿宋" w:cs="仿宋"/>
          <w:sz w:val="28"/>
          <w:szCs w:val="28"/>
        </w:rPr>
        <w:t>，马工程教材编写组</w:t>
      </w:r>
      <w:r>
        <w:rPr>
          <w:rFonts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高等教育</w:t>
      </w:r>
      <w:r>
        <w:rPr>
          <w:rFonts w:ascii="仿宋" w:hAnsi="仿宋" w:eastAsia="仿宋" w:cs="仿宋"/>
          <w:sz w:val="28"/>
          <w:szCs w:val="28"/>
        </w:rPr>
        <w:t>出版社，20</w:t>
      </w:r>
      <w:r>
        <w:rPr>
          <w:rFonts w:hint="eastAsia" w:ascii="仿宋" w:hAnsi="仿宋" w:eastAsia="仿宋" w:cs="仿宋"/>
          <w:sz w:val="28"/>
          <w:szCs w:val="28"/>
        </w:rPr>
        <w:t>20。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</w:t>
      </w:r>
      <w:r>
        <w:rPr>
          <w:rFonts w:ascii="仿宋" w:hAnsi="仿宋" w:eastAsia="仿宋" w:cs="仿宋"/>
          <w:sz w:val="28"/>
          <w:szCs w:val="28"/>
        </w:rPr>
        <w:t>《西方经济学</w:t>
      </w:r>
      <w:r>
        <w:rPr>
          <w:rFonts w:hint="eastAsia" w:ascii="仿宋" w:hAnsi="仿宋" w:eastAsia="仿宋" w:cs="仿宋"/>
          <w:sz w:val="28"/>
          <w:szCs w:val="28"/>
        </w:rPr>
        <w:t>教材（宏观+微观）</w:t>
      </w:r>
      <w:r>
        <w:rPr>
          <w:rFonts w:ascii="仿宋" w:hAnsi="仿宋" w:eastAsia="仿宋" w:cs="仿宋"/>
          <w:sz w:val="28"/>
          <w:szCs w:val="28"/>
        </w:rPr>
        <w:t>》（第</w:t>
      </w:r>
      <w:r>
        <w:rPr>
          <w:rFonts w:hint="eastAsia" w:ascii="仿宋" w:hAnsi="仿宋" w:eastAsia="仿宋" w:cs="仿宋"/>
          <w:sz w:val="28"/>
          <w:szCs w:val="28"/>
        </w:rPr>
        <w:t>7</w:t>
      </w:r>
      <w:r>
        <w:rPr>
          <w:rFonts w:ascii="仿宋" w:hAnsi="仿宋" w:eastAsia="仿宋" w:cs="仿宋"/>
          <w:sz w:val="28"/>
          <w:szCs w:val="28"/>
        </w:rPr>
        <w:t>版）</w:t>
      </w:r>
      <w:r>
        <w:rPr>
          <w:rFonts w:hint="eastAsia" w:ascii="仿宋" w:hAnsi="仿宋" w:eastAsia="仿宋" w:cs="仿宋"/>
          <w:sz w:val="28"/>
          <w:szCs w:val="28"/>
        </w:rPr>
        <w:t>，高鸿业</w:t>
      </w:r>
      <w:r>
        <w:rPr>
          <w:rFonts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中国人民大学</w:t>
      </w:r>
      <w:r>
        <w:rPr>
          <w:rFonts w:ascii="仿宋" w:hAnsi="仿宋" w:eastAsia="仿宋" w:cs="仿宋"/>
          <w:sz w:val="28"/>
          <w:szCs w:val="28"/>
        </w:rPr>
        <w:t>出版社，20</w:t>
      </w:r>
      <w:r>
        <w:rPr>
          <w:rFonts w:hint="eastAsia" w:ascii="仿宋" w:hAnsi="仿宋" w:eastAsia="仿宋" w:cs="仿宋"/>
          <w:sz w:val="28"/>
          <w:szCs w:val="28"/>
        </w:rPr>
        <w:t>18。</w:t>
      </w: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rPr>
          <w:rFonts w:ascii="Verdana" w:hAnsi="Verdana" w:cs="宋体"/>
          <w:kern w:val="0"/>
          <w:sz w:val="18"/>
          <w:szCs w:val="18"/>
        </w:rPr>
      </w:pPr>
    </w:p>
    <w:p>
      <w:pPr>
        <w:rPr>
          <w:rFonts w:ascii="Verdana" w:hAnsi="Verdana" w:cs="宋体"/>
          <w:kern w:val="0"/>
          <w:sz w:val="18"/>
          <w:szCs w:val="18"/>
        </w:rPr>
      </w:pPr>
    </w:p>
    <w:p>
      <w:pPr>
        <w:rPr>
          <w:rFonts w:ascii="Verdana" w:hAnsi="Verdana" w:cs="宋体"/>
          <w:kern w:val="0"/>
          <w:sz w:val="18"/>
          <w:szCs w:val="18"/>
        </w:rPr>
      </w:pPr>
    </w:p>
    <w:p>
      <w:pPr>
        <w:rPr>
          <w:rFonts w:ascii="Verdana" w:hAnsi="Verdana" w:cs="宋体"/>
          <w:kern w:val="0"/>
          <w:sz w:val="18"/>
          <w:szCs w:val="18"/>
        </w:rPr>
      </w:pPr>
    </w:p>
    <w:p>
      <w:pPr>
        <w:rPr>
          <w:rFonts w:ascii="Verdana" w:hAnsi="Verdana" w:cs="宋体"/>
          <w:kern w:val="0"/>
          <w:sz w:val="18"/>
          <w:szCs w:val="18"/>
        </w:rPr>
      </w:pPr>
    </w:p>
    <w:p>
      <w:pPr>
        <w:rPr>
          <w:rFonts w:ascii="Verdana" w:hAnsi="Verdana" w:cs="宋体"/>
          <w:kern w:val="0"/>
          <w:sz w:val="18"/>
          <w:szCs w:val="18"/>
        </w:rPr>
      </w:pPr>
    </w:p>
    <w:p>
      <w:pPr>
        <w:rPr>
          <w:rFonts w:ascii="Verdana" w:hAnsi="Verdana" w:cs="宋体"/>
          <w:kern w:val="0"/>
          <w:sz w:val="18"/>
          <w:szCs w:val="18"/>
        </w:rPr>
      </w:pPr>
    </w:p>
    <w:p>
      <w:pPr>
        <w:rPr>
          <w:rFonts w:ascii="Verdana" w:hAnsi="Verdana" w:cs="宋体"/>
          <w:kern w:val="0"/>
          <w:sz w:val="18"/>
          <w:szCs w:val="18"/>
        </w:rPr>
      </w:pPr>
    </w:p>
    <w:p>
      <w:pPr>
        <w:rPr>
          <w:rFonts w:ascii="Verdana" w:hAnsi="Verdana" w:cs="宋体"/>
          <w:kern w:val="0"/>
          <w:sz w:val="18"/>
          <w:szCs w:val="18"/>
        </w:rPr>
      </w:pPr>
    </w:p>
    <w:p>
      <w:pPr>
        <w:rPr>
          <w:rFonts w:ascii="Verdana" w:hAnsi="Verdana" w:cs="宋体"/>
          <w:kern w:val="0"/>
          <w:sz w:val="18"/>
          <w:szCs w:val="18"/>
        </w:rPr>
      </w:pPr>
    </w:p>
    <w:p>
      <w:pPr>
        <w:rPr>
          <w:rFonts w:ascii="Verdana" w:hAnsi="Verdana" w:cs="宋体"/>
          <w:kern w:val="0"/>
          <w:sz w:val="18"/>
          <w:szCs w:val="18"/>
        </w:rPr>
      </w:pPr>
    </w:p>
    <w:p>
      <w:pPr>
        <w:rPr>
          <w:rFonts w:ascii="Verdana" w:hAnsi="Verdana" w:cs="宋体"/>
          <w:kern w:val="0"/>
          <w:sz w:val="18"/>
          <w:szCs w:val="18"/>
        </w:rPr>
      </w:pPr>
    </w:p>
    <w:p>
      <w:pPr>
        <w:rPr>
          <w:rFonts w:ascii="Verdana" w:hAnsi="Verdana" w:cs="宋体"/>
          <w:kern w:val="0"/>
          <w:sz w:val="18"/>
          <w:szCs w:val="18"/>
        </w:rPr>
      </w:pPr>
    </w:p>
    <w:p>
      <w:pPr>
        <w:rPr>
          <w:rFonts w:ascii="Verdana" w:hAnsi="Verdana" w:cs="宋体"/>
          <w:kern w:val="0"/>
          <w:sz w:val="18"/>
          <w:szCs w:val="18"/>
        </w:rPr>
      </w:pPr>
    </w:p>
    <w:p>
      <w:pPr>
        <w:rPr>
          <w:rFonts w:ascii="Verdana" w:hAnsi="Verdana" w:cs="宋体"/>
          <w:kern w:val="0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3414E"/>
    <w:rsid w:val="000618D6"/>
    <w:rsid w:val="000706BA"/>
    <w:rsid w:val="000D0BA8"/>
    <w:rsid w:val="000F5B61"/>
    <w:rsid w:val="001F43C3"/>
    <w:rsid w:val="00270FE2"/>
    <w:rsid w:val="002B794B"/>
    <w:rsid w:val="00330E58"/>
    <w:rsid w:val="0037423B"/>
    <w:rsid w:val="00461361"/>
    <w:rsid w:val="0047065C"/>
    <w:rsid w:val="004B0867"/>
    <w:rsid w:val="0051038B"/>
    <w:rsid w:val="005224D2"/>
    <w:rsid w:val="005A6491"/>
    <w:rsid w:val="00616B87"/>
    <w:rsid w:val="00637B77"/>
    <w:rsid w:val="006F3A5E"/>
    <w:rsid w:val="007C6872"/>
    <w:rsid w:val="007E44BE"/>
    <w:rsid w:val="008A7612"/>
    <w:rsid w:val="008E50B3"/>
    <w:rsid w:val="009418E3"/>
    <w:rsid w:val="009764CF"/>
    <w:rsid w:val="009C51E9"/>
    <w:rsid w:val="009C5B34"/>
    <w:rsid w:val="009E5A96"/>
    <w:rsid w:val="009F065C"/>
    <w:rsid w:val="00A17AA7"/>
    <w:rsid w:val="00A76BEA"/>
    <w:rsid w:val="00AC094B"/>
    <w:rsid w:val="00BD7EA3"/>
    <w:rsid w:val="00C73A20"/>
    <w:rsid w:val="00D0281C"/>
    <w:rsid w:val="00DF054B"/>
    <w:rsid w:val="00E403DD"/>
    <w:rsid w:val="00E86C45"/>
    <w:rsid w:val="00E95FE0"/>
    <w:rsid w:val="00FB7C89"/>
    <w:rsid w:val="158D4126"/>
    <w:rsid w:val="1D265AB4"/>
    <w:rsid w:val="43941091"/>
    <w:rsid w:val="67123602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9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15</Pages>
  <Words>601</Words>
  <Characters>3426</Characters>
  <Lines>28</Lines>
  <Paragraphs>8</Paragraphs>
  <TotalTime>94</TotalTime>
  <ScaleCrop>false</ScaleCrop>
  <LinksUpToDate>false</LinksUpToDate>
  <CharactersWithSpaces>4019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聂晓燕</cp:lastModifiedBy>
  <dcterms:modified xsi:type="dcterms:W3CDTF">2021-06-01T10:01:00Z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7F1EBF29450541EEBC343B79AC5A048C</vt:lpwstr>
  </property>
</Properties>
</file>