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自命题考试大纲</w:t>
      </w:r>
    </w:p>
    <w:p>
      <w:pPr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703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 w:bidi="hi-IN"/>
          <w14:textFill>
            <w14:solidFill>
              <w14:schemeClr w14:val="tx1"/>
            </w14:solidFill>
          </w14:textFill>
        </w:rPr>
        <w:t>学科概论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试卷成绩及考试时间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</w:rPr>
        <w:t>答题方式</w:t>
      </w:r>
    </w:p>
    <w:p>
      <w:pPr>
        <w:pStyle w:val="5"/>
        <w:spacing w:before="31" w:beforeLines="10" w:after="31" w:afterLines="10" w:line="288" w:lineRule="auto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试卷由试题和答题纸组成；答案必须写在答题纸（由考点提供）相应的位置上。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试卷结构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名词解释：4题，10分/题，共40分；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简答题：3题，15分/题，共45分；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论述题：2题，第一题30分，第二题35分，共65分。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sz w:val="28"/>
          <w:szCs w:val="28"/>
        </w:rPr>
        <w:t>考试目标：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掌握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学科概论</w:t>
      </w:r>
      <w:r>
        <w:rPr>
          <w:rFonts w:hint="eastAsia" w:ascii="仿宋" w:hAnsi="仿宋" w:eastAsia="仿宋" w:cs="仿宋"/>
          <w:sz w:val="28"/>
          <w:szCs w:val="28"/>
        </w:rPr>
        <w:t>的基本概念和基础知识。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理解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学科概论</w:t>
      </w:r>
      <w:r>
        <w:rPr>
          <w:rFonts w:hint="eastAsia" w:ascii="仿宋" w:hAnsi="仿宋" w:eastAsia="仿宋" w:cs="仿宋"/>
          <w:sz w:val="28"/>
          <w:szCs w:val="28"/>
        </w:rPr>
        <w:t>的基本理论和基本方法。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三、</w:t>
      </w:r>
      <w:r>
        <w:rPr>
          <w:rFonts w:hint="eastAsia" w:ascii="仿宋" w:hAnsi="仿宋" w:eastAsia="仿宋" w:cs="仿宋"/>
          <w:sz w:val="28"/>
          <w:szCs w:val="28"/>
        </w:rPr>
        <w:t>考试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范围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pStyle w:val="2"/>
        <w:widowControl/>
        <w:spacing w:before="0" w:beforeAutospacing="0" w:after="0" w:afterAutospacing="0"/>
        <w:ind w:left="279" w:leftChars="133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bidi="ar"/>
        </w:rPr>
        <w:t>(一)、艺术的起源</w:t>
      </w:r>
      <w:r>
        <w:rPr>
          <w:rFonts w:hint="eastAsia" w:ascii="仿宋" w:hAnsi="仿宋" w:eastAsia="仿宋" w:cs="仿宋"/>
          <w:sz w:val="28"/>
          <w:szCs w:val="28"/>
          <w:lang w:bidi="ar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1．模仿说的概念、提出者、内涵及合理性问题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2．游戏说的概念、提出者、内涵及合理性问题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3．表现说的概念、提出者、内涵及合理性问题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4．巫术说的概念、提出者、内涵及合理性问题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5．劳动说的概念、提出者、内涵及合理性问题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6．对艺术起源问题的理解。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（二）、艺术的特性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1．理解艺术之特性的具体内容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2．结合艺术作品理解艺术形象之具体内涵。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3．理解艺术之主体性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4．理解艺术之审美性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（三）、艺术的功能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1．理解艺术之社会功能的主要方面。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2．艺术之审美功能、认知功能与教育功能的概念与具体表现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（四）艺术创作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1．艺术家之概念以及成为艺术创作主体的条件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2．作为艺术创作客体之社会生活与艺术创作的关系。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3．艺术才能（艺术技巧）之概念。</w:t>
      </w:r>
    </w:p>
    <w:p>
      <w:pPr>
        <w:pStyle w:val="2"/>
        <w:widowControl/>
        <w:spacing w:before="0" w:beforeAutospacing="0" w:after="0" w:afterAutospacing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、主要参考书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目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艺术概论</w:t>
      </w:r>
      <w:r>
        <w:rPr>
          <w:rFonts w:hint="eastAsia" w:ascii="仿宋" w:hAnsi="仿宋" w:eastAsia="仿宋" w:cs="仿宋"/>
          <w:sz w:val="28"/>
          <w:szCs w:val="28"/>
        </w:rPr>
        <w:t>》（第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版）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王宏健（作者）</w:t>
      </w:r>
      <w:r>
        <w:rPr>
          <w:rFonts w:hint="eastAsia" w:ascii="仿宋" w:hAnsi="仿宋" w:eastAsia="仿宋" w:cs="仿宋"/>
          <w:sz w:val="28"/>
          <w:szCs w:val="28"/>
        </w:rPr>
        <w:t>，文化艺术出版社，2014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Verdana" w:hAnsi="Verdana" w:cs="宋体"/>
          <w:kern w:val="0"/>
          <w:sz w:val="18"/>
          <w:szCs w:val="1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2、《艺术学概论》（第三版），彭吉象（作者），北京大学出版社，2006。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3E056"/>
    <w:multiLevelType w:val="singleLevel"/>
    <w:tmpl w:val="0DB3E05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B700450"/>
    <w:rsid w:val="1D265AB4"/>
    <w:rsid w:val="53F50722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4</Pages>
  <Words>232</Words>
  <Characters>1329</Characters>
  <Lines>11</Lines>
  <Paragraphs>3</Paragraphs>
  <TotalTime>1</TotalTime>
  <ScaleCrop>false</ScaleCrop>
  <LinksUpToDate>false</LinksUpToDate>
  <CharactersWithSpaces>1558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杨萌萌</cp:lastModifiedBy>
  <dcterms:modified xsi:type="dcterms:W3CDTF">2021-05-23T03:43:48Z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