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宋体"/>
          <w:b/>
          <w:bCs/>
          <w:color w:val="000000" w:themeColor="text1"/>
          <w:sz w:val="32"/>
          <w:szCs w:val="32"/>
        </w:rPr>
      </w:pPr>
      <w:r>
        <w:rPr>
          <w:rFonts w:hint="eastAsia" w:ascii="宋体" w:hAnsi="宋体" w:cs="宋体"/>
          <w:b/>
          <w:bCs/>
          <w:color w:val="000000" w:themeColor="text1"/>
          <w:sz w:val="32"/>
          <w:szCs w:val="32"/>
        </w:rPr>
        <w:t>海南师范大学2024年全国硕士研究生招生考试</w:t>
      </w:r>
    </w:p>
    <w:p>
      <w:pPr>
        <w:spacing w:line="360" w:lineRule="auto"/>
        <w:jc w:val="center"/>
        <w:rPr>
          <w:rFonts w:ascii="宋体" w:hAnsi="宋体" w:cs="宋体"/>
          <w:b/>
          <w:bCs/>
          <w:color w:val="FF0000"/>
          <w:sz w:val="32"/>
          <w:szCs w:val="32"/>
        </w:rPr>
      </w:pPr>
      <w:r>
        <w:rPr>
          <w:rFonts w:hint="eastAsia" w:ascii="宋体" w:hAnsi="宋体" w:cs="宋体"/>
          <w:b/>
          <w:bCs/>
          <w:color w:val="000000" w:themeColor="text1"/>
          <w:sz w:val="32"/>
          <w:szCs w:val="32"/>
        </w:rPr>
        <w:t>同等学力加试自命题科目考试大纲</w:t>
      </w:r>
      <w:r>
        <w:rPr>
          <w:rFonts w:hint="eastAsia" w:ascii="宋体" w:hAnsi="宋体" w:cs="宋体"/>
          <w:b/>
          <w:bCs/>
          <w:color w:val="FF0000"/>
          <w:sz w:val="32"/>
          <w:szCs w:val="32"/>
        </w:rPr>
        <w:t xml:space="preserve"> </w:t>
      </w:r>
    </w:p>
    <w:p>
      <w:pPr>
        <w:spacing w:line="360" w:lineRule="auto"/>
        <w:jc w:val="center"/>
        <w:rPr>
          <w:rFonts w:ascii="宋体" w:hAnsi="宋体" w:cs="仿宋"/>
          <w:color w:val="000000" w:themeColor="text1"/>
          <w:sz w:val="28"/>
          <w:szCs w:val="28"/>
        </w:rPr>
      </w:pPr>
      <w:r>
        <w:rPr>
          <w:rFonts w:hint="eastAsia" w:ascii="宋体" w:hAnsi="宋体" w:cs="仿宋"/>
          <w:color w:val="000000" w:themeColor="text1"/>
          <w:sz w:val="28"/>
          <w:szCs w:val="28"/>
        </w:rPr>
        <w:t>同等学力加试科目             考试科目名称：广播电视节目策划</w:t>
      </w:r>
    </w:p>
    <w:p>
      <w:pPr>
        <w:rPr>
          <w:rFonts w:ascii="宋体" w:hAnsi="宋体" w:cs="仿宋"/>
          <w:sz w:val="28"/>
          <w:szCs w:val="28"/>
        </w:rPr>
      </w:pPr>
      <w:r>
        <w:rPr>
          <w:rFonts w:ascii="宋体" w:hAnsi="宋体"/>
          <w:sz w:val="28"/>
          <w:szCs w:val="28"/>
        </w:rPr>
        <w:t>﹡﹡﹡﹡﹡﹡﹡﹡﹡﹡﹡﹡﹡﹡﹡﹡﹡﹡﹡﹡﹡﹡﹡﹡﹡﹡﹡﹡﹡</w:t>
      </w:r>
    </w:p>
    <w:p>
      <w:pPr>
        <w:pStyle w:val="8"/>
        <w:numPr>
          <w:ilvl w:val="0"/>
          <w:numId w:val="1"/>
        </w:numPr>
        <w:ind w:firstLineChars="0"/>
        <w:rPr>
          <w:rFonts w:ascii="宋体" w:hAnsi="宋体" w:cs="宋体"/>
          <w:b/>
          <w:bCs/>
          <w:sz w:val="28"/>
          <w:szCs w:val="28"/>
        </w:rPr>
      </w:pPr>
      <w:r>
        <w:rPr>
          <w:rFonts w:hint="eastAsia" w:ascii="宋体" w:hAnsi="宋体" w:cs="宋体"/>
          <w:b/>
          <w:bCs/>
          <w:sz w:val="28"/>
          <w:szCs w:val="28"/>
        </w:rPr>
        <w:t>考试性质</w:t>
      </w:r>
    </w:p>
    <w:p>
      <w:pPr>
        <w:ind w:left="571" w:firstLine="420" w:firstLineChars="150"/>
        <w:rPr>
          <w:rFonts w:hint="eastAsia" w:ascii="宋体" w:hAnsi="宋体" w:cs="宋体"/>
          <w:sz w:val="28"/>
          <w:szCs w:val="28"/>
        </w:rPr>
      </w:pPr>
      <w:r>
        <w:rPr>
          <w:rFonts w:hint="eastAsia" w:ascii="宋体" w:hAnsi="宋体" w:cs="宋体"/>
          <w:sz w:val="28"/>
          <w:szCs w:val="28"/>
        </w:rPr>
        <w:t>《广播电视节目策划》是戏剧与影视（</w:t>
      </w:r>
      <w:r>
        <w:rPr>
          <w:rFonts w:hint="eastAsia" w:ascii="宋体" w:hAnsi="宋体" w:cs="宋体"/>
          <w:color w:val="FF0000"/>
          <w:sz w:val="28"/>
          <w:szCs w:val="28"/>
          <w:lang w:val="en-US" w:eastAsia="zh-CN"/>
        </w:rPr>
        <w:t>专业</w:t>
      </w:r>
      <w:r>
        <w:rPr>
          <w:rFonts w:hint="eastAsia" w:ascii="宋体" w:hAnsi="宋体" w:cs="宋体"/>
          <w:color w:val="FF0000"/>
          <w:sz w:val="28"/>
          <w:szCs w:val="28"/>
        </w:rPr>
        <w:t>型</w:t>
      </w:r>
      <w:r>
        <w:rPr>
          <w:rFonts w:hint="eastAsia" w:ascii="宋体" w:hAnsi="宋体" w:cs="宋体"/>
          <w:sz w:val="28"/>
          <w:szCs w:val="28"/>
        </w:rPr>
        <w:t>）硕士生的入学专业考试科目之一，主要考察学生对广播电视节目策划的基本概念和基本方法的理解和掌握，对广播电视节目</w:t>
      </w:r>
      <w:bookmarkStart w:id="0" w:name="_GoBack"/>
      <w:bookmarkEnd w:id="0"/>
      <w:r>
        <w:rPr>
          <w:rFonts w:hint="eastAsia" w:ascii="宋体" w:hAnsi="宋体" w:cs="宋体"/>
          <w:sz w:val="28"/>
          <w:szCs w:val="28"/>
        </w:rPr>
        <w:t>策划的基本特性的理解和掌握，以及对广播电视节目策划的实际运用能力。</w:t>
      </w:r>
    </w:p>
    <w:p>
      <w:pPr>
        <w:ind w:firstLine="562" w:firstLineChars="200"/>
        <w:rPr>
          <w:rFonts w:ascii="宋体" w:hAnsi="宋体" w:cs="仿宋"/>
          <w:b/>
          <w:sz w:val="28"/>
          <w:szCs w:val="28"/>
        </w:rPr>
      </w:pPr>
      <w:r>
        <w:rPr>
          <w:rFonts w:hint="eastAsia" w:ascii="宋体" w:hAnsi="宋体" w:cs="仿宋"/>
          <w:b/>
          <w:sz w:val="28"/>
          <w:szCs w:val="28"/>
        </w:rPr>
        <w:t>二、评价目标</w:t>
      </w:r>
    </w:p>
    <w:p>
      <w:pPr>
        <w:ind w:firstLine="560" w:firstLineChars="200"/>
        <w:rPr>
          <w:rFonts w:ascii="宋体" w:hAnsi="宋体" w:cs="仿宋"/>
          <w:sz w:val="28"/>
          <w:szCs w:val="28"/>
        </w:rPr>
      </w:pPr>
      <w:r>
        <w:rPr>
          <w:rFonts w:hint="eastAsia" w:ascii="宋体" w:hAnsi="宋体" w:cs="仿宋"/>
          <w:sz w:val="28"/>
          <w:szCs w:val="28"/>
        </w:rPr>
        <w:t>1.掌握广播电视创意与策划的基本概念和基础知识。</w:t>
      </w:r>
    </w:p>
    <w:p>
      <w:pPr>
        <w:ind w:firstLine="560" w:firstLineChars="200"/>
        <w:rPr>
          <w:rFonts w:ascii="宋体" w:hAnsi="宋体" w:cs="仿宋"/>
          <w:sz w:val="28"/>
          <w:szCs w:val="28"/>
        </w:rPr>
      </w:pPr>
      <w:r>
        <w:rPr>
          <w:rFonts w:hint="eastAsia" w:ascii="宋体" w:hAnsi="宋体" w:cs="仿宋"/>
          <w:sz w:val="28"/>
          <w:szCs w:val="28"/>
        </w:rPr>
        <w:t>2．了解不同类型的节目创意与策划的方略与要领。</w:t>
      </w:r>
    </w:p>
    <w:p>
      <w:pPr>
        <w:ind w:firstLine="562" w:firstLineChars="200"/>
        <w:rPr>
          <w:rFonts w:ascii="宋体" w:hAnsi="宋体" w:cs="仿宋"/>
          <w:b/>
          <w:sz w:val="28"/>
          <w:szCs w:val="28"/>
        </w:rPr>
      </w:pPr>
      <w:r>
        <w:rPr>
          <w:rFonts w:hint="eastAsia" w:ascii="宋体" w:hAnsi="宋体" w:cs="仿宋"/>
          <w:b/>
          <w:sz w:val="28"/>
          <w:szCs w:val="28"/>
        </w:rPr>
        <w:t>三、考试范围</w:t>
      </w:r>
    </w:p>
    <w:p>
      <w:pPr>
        <w:ind w:firstLine="560" w:firstLineChars="200"/>
        <w:rPr>
          <w:rFonts w:ascii="宋体" w:hAnsi="宋体" w:cs="仿宋"/>
          <w:sz w:val="28"/>
          <w:szCs w:val="28"/>
        </w:rPr>
      </w:pPr>
      <w:r>
        <w:rPr>
          <w:rFonts w:hint="eastAsia" w:ascii="宋体" w:hAnsi="宋体" w:cs="仿宋"/>
          <w:sz w:val="28"/>
          <w:szCs w:val="28"/>
        </w:rPr>
        <w:t>（一）广播电视创意与策划概念</w:t>
      </w:r>
    </w:p>
    <w:p>
      <w:pPr>
        <w:ind w:firstLine="560" w:firstLineChars="200"/>
        <w:rPr>
          <w:rFonts w:ascii="宋体" w:hAnsi="宋体" w:cs="仿宋"/>
          <w:sz w:val="28"/>
          <w:szCs w:val="28"/>
        </w:rPr>
      </w:pPr>
      <w:r>
        <w:rPr>
          <w:rFonts w:hint="eastAsia" w:ascii="宋体" w:hAnsi="宋体" w:cs="仿宋"/>
          <w:sz w:val="28"/>
          <w:szCs w:val="28"/>
        </w:rPr>
        <w:t>1</w:t>
      </w:r>
      <w:r>
        <w:rPr>
          <w:rFonts w:ascii="宋体" w:hAnsi="宋体" w:cs="仿宋"/>
          <w:sz w:val="28"/>
          <w:szCs w:val="28"/>
        </w:rPr>
        <w:t>.</w:t>
      </w:r>
      <w:r>
        <w:rPr>
          <w:rFonts w:hint="eastAsia" w:ascii="宋体" w:hAnsi="宋体" w:cs="仿宋"/>
          <w:sz w:val="28"/>
          <w:szCs w:val="28"/>
        </w:rPr>
        <w:t>广播电视创意与策划的概念</w:t>
      </w:r>
    </w:p>
    <w:p>
      <w:pPr>
        <w:ind w:firstLine="560" w:firstLineChars="200"/>
        <w:rPr>
          <w:rFonts w:ascii="宋体" w:hAnsi="宋体" w:cs="仿宋"/>
          <w:sz w:val="28"/>
          <w:szCs w:val="28"/>
        </w:rPr>
      </w:pPr>
      <w:r>
        <w:rPr>
          <w:rFonts w:hint="eastAsia" w:ascii="宋体" w:hAnsi="宋体" w:cs="仿宋"/>
          <w:sz w:val="28"/>
          <w:szCs w:val="28"/>
        </w:rPr>
        <w:t>广播电视创意与策划的概念以及意义。</w:t>
      </w:r>
    </w:p>
    <w:p>
      <w:pPr>
        <w:ind w:firstLine="560" w:firstLineChars="200"/>
        <w:rPr>
          <w:rFonts w:ascii="宋体" w:hAnsi="宋体" w:cs="仿宋"/>
          <w:sz w:val="28"/>
          <w:szCs w:val="28"/>
        </w:rPr>
      </w:pPr>
      <w:r>
        <w:rPr>
          <w:rFonts w:hint="eastAsia" w:ascii="宋体" w:hAnsi="宋体" w:cs="仿宋"/>
          <w:sz w:val="28"/>
          <w:szCs w:val="28"/>
        </w:rPr>
        <w:t>2</w:t>
      </w:r>
      <w:r>
        <w:rPr>
          <w:rFonts w:ascii="宋体" w:hAnsi="宋体" w:cs="仿宋"/>
          <w:sz w:val="28"/>
          <w:szCs w:val="28"/>
        </w:rPr>
        <w:t>.</w:t>
      </w:r>
      <w:r>
        <w:rPr>
          <w:rFonts w:hint="eastAsia" w:ascii="宋体" w:hAnsi="宋体" w:cs="仿宋"/>
          <w:sz w:val="28"/>
          <w:szCs w:val="28"/>
        </w:rPr>
        <w:t>栏目与节目层面的创意与策划</w:t>
      </w:r>
    </w:p>
    <w:p>
      <w:pPr>
        <w:ind w:firstLine="560" w:firstLineChars="200"/>
        <w:rPr>
          <w:rFonts w:ascii="宋体" w:hAnsi="宋体" w:cs="仿宋"/>
          <w:sz w:val="28"/>
          <w:szCs w:val="28"/>
        </w:rPr>
      </w:pPr>
      <w:r>
        <w:rPr>
          <w:rFonts w:hint="eastAsia" w:ascii="宋体" w:hAnsi="宋体" w:cs="仿宋"/>
          <w:sz w:val="28"/>
          <w:szCs w:val="28"/>
        </w:rPr>
        <w:t>栏目的节目的概述，栏目品牌化的意义以及创新，节目创新途径与策划基本方法。</w:t>
      </w:r>
    </w:p>
    <w:p>
      <w:pPr>
        <w:ind w:firstLine="560" w:firstLineChars="200"/>
        <w:rPr>
          <w:rFonts w:ascii="宋体" w:hAnsi="宋体" w:cs="仿宋"/>
          <w:sz w:val="28"/>
          <w:szCs w:val="28"/>
        </w:rPr>
      </w:pPr>
      <w:r>
        <w:rPr>
          <w:rFonts w:hint="eastAsia" w:ascii="宋体" w:hAnsi="宋体" w:cs="仿宋"/>
          <w:sz w:val="28"/>
          <w:szCs w:val="28"/>
        </w:rPr>
        <w:t>3．节目层面的创意与策划</w:t>
      </w:r>
    </w:p>
    <w:p>
      <w:pPr>
        <w:ind w:firstLine="560" w:firstLineChars="200"/>
        <w:rPr>
          <w:rFonts w:ascii="宋体" w:hAnsi="宋体" w:cs="仿宋"/>
          <w:sz w:val="28"/>
          <w:szCs w:val="28"/>
        </w:rPr>
      </w:pPr>
      <w:r>
        <w:rPr>
          <w:rFonts w:hint="eastAsia" w:ascii="宋体" w:hAnsi="宋体" w:cs="仿宋"/>
          <w:sz w:val="28"/>
          <w:szCs w:val="28"/>
        </w:rPr>
        <w:t>节目创新的途径与节目策划的基本方法。</w:t>
      </w:r>
    </w:p>
    <w:p>
      <w:pPr>
        <w:ind w:firstLine="560" w:firstLineChars="200"/>
        <w:rPr>
          <w:rFonts w:ascii="宋体" w:hAnsi="宋体" w:cs="仿宋"/>
          <w:sz w:val="28"/>
          <w:szCs w:val="28"/>
        </w:rPr>
      </w:pPr>
      <w:r>
        <w:rPr>
          <w:rFonts w:hint="eastAsia" w:ascii="宋体" w:hAnsi="宋体" w:cs="仿宋"/>
          <w:sz w:val="28"/>
          <w:szCs w:val="28"/>
        </w:rPr>
        <w:t>（二）不同类型节目的创意与策划</w:t>
      </w:r>
    </w:p>
    <w:p>
      <w:pPr>
        <w:ind w:firstLine="560" w:firstLineChars="200"/>
        <w:rPr>
          <w:rFonts w:ascii="宋体" w:hAnsi="宋体" w:cs="仿宋"/>
          <w:sz w:val="28"/>
          <w:szCs w:val="28"/>
        </w:rPr>
      </w:pPr>
      <w:r>
        <w:rPr>
          <w:rFonts w:hint="eastAsia" w:ascii="宋体" w:hAnsi="宋体" w:cs="仿宋"/>
          <w:sz w:val="28"/>
          <w:szCs w:val="28"/>
        </w:rPr>
        <w:t>1</w:t>
      </w:r>
      <w:r>
        <w:rPr>
          <w:rFonts w:ascii="宋体" w:hAnsi="宋体" w:cs="仿宋"/>
          <w:sz w:val="28"/>
          <w:szCs w:val="28"/>
        </w:rPr>
        <w:t>.</w:t>
      </w:r>
      <w:r>
        <w:rPr>
          <w:rFonts w:hint="eastAsia" w:ascii="宋体" w:hAnsi="宋体" w:cs="仿宋"/>
          <w:sz w:val="28"/>
          <w:szCs w:val="28"/>
        </w:rPr>
        <w:t>喉舌与舆论导向类节目的创意与策划。</w:t>
      </w:r>
    </w:p>
    <w:p>
      <w:pPr>
        <w:ind w:firstLine="560" w:firstLineChars="200"/>
        <w:rPr>
          <w:rFonts w:ascii="宋体" w:hAnsi="宋体" w:cs="仿宋"/>
          <w:sz w:val="28"/>
          <w:szCs w:val="28"/>
        </w:rPr>
      </w:pPr>
      <w:r>
        <w:rPr>
          <w:rFonts w:hint="eastAsia" w:ascii="宋体" w:hAnsi="宋体" w:cs="仿宋"/>
          <w:sz w:val="28"/>
          <w:szCs w:val="28"/>
        </w:rPr>
        <w:t>喉舌与舆论导向类节目的理论知识，基本形态，创新方略和策划要领。</w:t>
      </w:r>
    </w:p>
    <w:p>
      <w:pPr>
        <w:ind w:firstLine="560" w:firstLineChars="200"/>
        <w:rPr>
          <w:rFonts w:ascii="宋体" w:hAnsi="宋体" w:cs="仿宋"/>
          <w:sz w:val="28"/>
          <w:szCs w:val="28"/>
        </w:rPr>
      </w:pPr>
      <w:r>
        <w:rPr>
          <w:rFonts w:hint="eastAsia" w:ascii="宋体" w:hAnsi="宋体" w:cs="仿宋"/>
          <w:sz w:val="28"/>
          <w:szCs w:val="28"/>
        </w:rPr>
        <w:t>2</w:t>
      </w:r>
      <w:r>
        <w:rPr>
          <w:rFonts w:ascii="宋体" w:hAnsi="宋体" w:cs="仿宋"/>
          <w:sz w:val="28"/>
          <w:szCs w:val="28"/>
        </w:rPr>
        <w:t>.</w:t>
      </w:r>
      <w:r>
        <w:rPr>
          <w:rFonts w:hint="eastAsia" w:ascii="宋体" w:hAnsi="宋体" w:cs="仿宋"/>
          <w:sz w:val="28"/>
          <w:szCs w:val="28"/>
        </w:rPr>
        <w:t xml:space="preserve"> 社会交流与服务类节目的创意与策划。</w:t>
      </w:r>
    </w:p>
    <w:p>
      <w:pPr>
        <w:ind w:firstLine="560" w:firstLineChars="200"/>
        <w:rPr>
          <w:rFonts w:ascii="宋体" w:hAnsi="宋体" w:cs="仿宋"/>
          <w:sz w:val="28"/>
          <w:szCs w:val="28"/>
        </w:rPr>
      </w:pPr>
      <w:r>
        <w:rPr>
          <w:rFonts w:hint="eastAsia" w:ascii="宋体" w:hAnsi="宋体" w:cs="仿宋"/>
          <w:sz w:val="28"/>
          <w:szCs w:val="28"/>
        </w:rPr>
        <w:t>社会交流与服务类节目的理论知识，基本形态，创新方略和策划要领。</w:t>
      </w:r>
    </w:p>
    <w:p>
      <w:pPr>
        <w:ind w:firstLine="560" w:firstLineChars="200"/>
        <w:rPr>
          <w:rFonts w:ascii="宋体" w:hAnsi="宋体" w:cs="仿宋"/>
          <w:sz w:val="28"/>
          <w:szCs w:val="28"/>
        </w:rPr>
      </w:pPr>
      <w:r>
        <w:rPr>
          <w:rFonts w:hint="eastAsia" w:ascii="宋体" w:hAnsi="宋体" w:cs="仿宋"/>
          <w:sz w:val="28"/>
          <w:szCs w:val="28"/>
        </w:rPr>
        <w:t>3</w:t>
      </w:r>
      <w:r>
        <w:rPr>
          <w:rFonts w:ascii="宋体" w:hAnsi="宋体" w:cs="仿宋"/>
          <w:sz w:val="28"/>
          <w:szCs w:val="28"/>
        </w:rPr>
        <w:t>.</w:t>
      </w:r>
      <w:r>
        <w:rPr>
          <w:rFonts w:hint="eastAsia" w:ascii="宋体" w:hAnsi="宋体" w:cs="仿宋"/>
          <w:sz w:val="28"/>
          <w:szCs w:val="28"/>
        </w:rPr>
        <w:t xml:space="preserve"> 文化传播类节目的创意与策划。</w:t>
      </w:r>
    </w:p>
    <w:p>
      <w:pPr>
        <w:ind w:firstLine="560" w:firstLineChars="200"/>
        <w:rPr>
          <w:rFonts w:ascii="宋体" w:hAnsi="宋体" w:cs="仿宋"/>
          <w:sz w:val="28"/>
          <w:szCs w:val="28"/>
        </w:rPr>
      </w:pPr>
      <w:r>
        <w:rPr>
          <w:rFonts w:hint="eastAsia" w:ascii="宋体" w:hAnsi="宋体" w:cs="仿宋"/>
          <w:sz w:val="28"/>
          <w:szCs w:val="28"/>
        </w:rPr>
        <w:t>文化传播类节目的理论知识，基本形态，创新方略和策划要领。</w:t>
      </w:r>
    </w:p>
    <w:p>
      <w:pPr>
        <w:ind w:firstLine="562" w:firstLineChars="200"/>
        <w:rPr>
          <w:rFonts w:ascii="宋体" w:hAnsi="宋体" w:cs="仿宋"/>
          <w:b/>
          <w:sz w:val="28"/>
          <w:szCs w:val="28"/>
        </w:rPr>
      </w:pPr>
      <w:r>
        <w:rPr>
          <w:rFonts w:hint="eastAsia" w:ascii="宋体" w:hAnsi="宋体" w:cs="仿宋"/>
          <w:b/>
          <w:sz w:val="28"/>
          <w:szCs w:val="28"/>
        </w:rPr>
        <w:t>四、考试形式与试卷结构</w:t>
      </w:r>
    </w:p>
    <w:p>
      <w:pPr>
        <w:ind w:firstLine="560" w:firstLineChars="200"/>
        <w:rPr>
          <w:rFonts w:ascii="宋体" w:hAnsi="宋体" w:cs="仿宋"/>
          <w:sz w:val="28"/>
          <w:szCs w:val="28"/>
        </w:rPr>
      </w:pPr>
      <w:r>
        <w:rPr>
          <w:rFonts w:hint="eastAsia" w:ascii="宋体" w:hAnsi="宋体" w:cs="仿宋"/>
          <w:sz w:val="28"/>
          <w:szCs w:val="28"/>
        </w:rPr>
        <w:t>（一）试卷成绩及考试时间</w:t>
      </w:r>
    </w:p>
    <w:p>
      <w:pPr>
        <w:ind w:firstLine="560" w:firstLineChars="200"/>
        <w:rPr>
          <w:rFonts w:ascii="宋体" w:hAnsi="宋体" w:cs="仿宋"/>
          <w:sz w:val="28"/>
          <w:szCs w:val="28"/>
        </w:rPr>
      </w:pPr>
      <w:r>
        <w:rPr>
          <w:rFonts w:hint="eastAsia" w:ascii="宋体" w:hAnsi="宋体" w:cs="仿宋"/>
          <w:sz w:val="28"/>
          <w:szCs w:val="28"/>
        </w:rPr>
        <w:t>本试卷满分为100分，考试时间为100分钟。</w:t>
      </w:r>
    </w:p>
    <w:p>
      <w:pPr>
        <w:ind w:firstLine="560" w:firstLineChars="200"/>
        <w:rPr>
          <w:rFonts w:ascii="宋体" w:hAnsi="宋体" w:cs="仿宋"/>
          <w:sz w:val="28"/>
          <w:szCs w:val="28"/>
        </w:rPr>
      </w:pPr>
      <w:r>
        <w:rPr>
          <w:rFonts w:hint="eastAsia" w:ascii="宋体" w:hAnsi="宋体" w:cs="仿宋"/>
          <w:sz w:val="28"/>
          <w:szCs w:val="28"/>
        </w:rPr>
        <w:t>（二）答题方式</w:t>
      </w:r>
    </w:p>
    <w:p>
      <w:pPr>
        <w:ind w:firstLine="560" w:firstLineChars="200"/>
        <w:rPr>
          <w:rFonts w:ascii="宋体" w:hAnsi="宋体" w:cs="仿宋"/>
          <w:sz w:val="28"/>
          <w:szCs w:val="28"/>
        </w:rPr>
      </w:pPr>
      <w:r>
        <w:rPr>
          <w:rFonts w:hint="eastAsia" w:ascii="宋体" w:hAnsi="宋体" w:cs="仿宋"/>
          <w:sz w:val="28"/>
          <w:szCs w:val="28"/>
        </w:rPr>
        <w:t>答题方式为闭卷、笔试。</w:t>
      </w:r>
    </w:p>
    <w:p>
      <w:pPr>
        <w:numPr>
          <w:ilvl w:val="0"/>
          <w:numId w:val="2"/>
        </w:numPr>
        <w:ind w:firstLine="560" w:firstLineChars="200"/>
        <w:rPr>
          <w:rFonts w:ascii="宋体" w:hAnsi="宋体" w:cs="仿宋"/>
          <w:sz w:val="28"/>
          <w:szCs w:val="28"/>
        </w:rPr>
      </w:pPr>
      <w:r>
        <w:rPr>
          <w:rFonts w:hint="eastAsia" w:ascii="宋体" w:hAnsi="宋体" w:cs="仿宋"/>
          <w:sz w:val="28"/>
          <w:szCs w:val="28"/>
        </w:rPr>
        <w:t>试卷结构</w:t>
      </w:r>
    </w:p>
    <w:p>
      <w:pPr>
        <w:rPr>
          <w:rFonts w:ascii="宋体" w:hAnsi="宋体" w:cs="仿宋"/>
          <w:sz w:val="28"/>
          <w:szCs w:val="28"/>
        </w:rPr>
      </w:pPr>
      <w:r>
        <w:rPr>
          <w:rFonts w:ascii="宋体" w:hAnsi="宋体" w:cs="仿宋"/>
          <w:sz w:val="28"/>
          <w:szCs w:val="28"/>
        </w:rPr>
        <w:t xml:space="preserve">     </w:t>
      </w:r>
      <w:r>
        <w:rPr>
          <w:rFonts w:hint="eastAsia" w:ascii="宋体" w:hAnsi="宋体" w:cs="仿宋"/>
          <w:sz w:val="28"/>
          <w:szCs w:val="28"/>
          <w:lang w:eastAsia="zh-Hans"/>
        </w:rPr>
        <w:t>名词解释题</w:t>
      </w:r>
      <w:r>
        <w:rPr>
          <w:rFonts w:hint="eastAsia" w:ascii="宋体" w:hAnsi="宋体" w:cs="仿宋"/>
          <w:sz w:val="28"/>
          <w:szCs w:val="28"/>
        </w:rPr>
        <w:t>；</w:t>
      </w:r>
      <w:r>
        <w:rPr>
          <w:rFonts w:hint="eastAsia" w:ascii="宋体" w:hAnsi="宋体" w:cs="仿宋"/>
          <w:sz w:val="28"/>
          <w:szCs w:val="28"/>
          <w:lang w:eastAsia="zh-Hans"/>
        </w:rPr>
        <w:t>简答题</w:t>
      </w:r>
      <w:r>
        <w:rPr>
          <w:rFonts w:hint="eastAsia" w:ascii="宋体" w:hAnsi="宋体" w:cs="仿宋"/>
          <w:sz w:val="28"/>
          <w:szCs w:val="28"/>
        </w:rPr>
        <w:t>；</w:t>
      </w:r>
      <w:r>
        <w:rPr>
          <w:rFonts w:hint="eastAsia" w:ascii="宋体" w:hAnsi="宋体" w:cs="仿宋"/>
          <w:sz w:val="28"/>
          <w:szCs w:val="28"/>
          <w:lang w:eastAsia="zh-Hans"/>
        </w:rPr>
        <w:t>分析论述题</w:t>
      </w:r>
      <w:r>
        <w:rPr>
          <w:rFonts w:hint="eastAsia" w:ascii="宋体" w:hAnsi="宋体" w:cs="仿宋"/>
          <w:sz w:val="28"/>
          <w:szCs w:val="28"/>
        </w:rPr>
        <w:t xml:space="preserve"> </w:t>
      </w:r>
    </w:p>
    <w:p>
      <w:pPr>
        <w:ind w:firstLine="562" w:firstLineChars="200"/>
        <w:rPr>
          <w:rFonts w:ascii="宋体" w:hAnsi="宋体" w:cs="仿宋"/>
          <w:b/>
          <w:sz w:val="28"/>
          <w:szCs w:val="28"/>
        </w:rPr>
      </w:pPr>
      <w:r>
        <w:rPr>
          <w:rFonts w:hint="eastAsia" w:ascii="宋体" w:hAnsi="宋体" w:cs="仿宋"/>
          <w:b/>
          <w:sz w:val="28"/>
          <w:szCs w:val="28"/>
        </w:rPr>
        <w:t>五、主要参考书目</w:t>
      </w:r>
    </w:p>
    <w:p>
      <w:pPr>
        <w:ind w:firstLine="560" w:firstLineChars="200"/>
        <w:rPr>
          <w:rFonts w:ascii="宋体" w:hAnsi="宋体" w:cs="仿宋"/>
          <w:sz w:val="28"/>
          <w:szCs w:val="28"/>
        </w:rPr>
      </w:pPr>
      <w:r>
        <w:rPr>
          <w:rFonts w:ascii="宋体" w:hAnsi="宋体"/>
          <w:sz w:val="28"/>
          <w:szCs w:val="28"/>
        </w:rPr>
        <w:t xml:space="preserve"> </w:t>
      </w:r>
      <w:r>
        <w:rPr>
          <w:rFonts w:ascii="宋体" w:hAnsi="宋体" w:cs="仿宋"/>
          <w:sz w:val="28"/>
          <w:szCs w:val="28"/>
        </w:rPr>
        <w:t xml:space="preserve"> </w:t>
      </w:r>
      <w:r>
        <w:rPr>
          <w:rFonts w:hint="eastAsia" w:ascii="宋体" w:hAnsi="宋体" w:cs="仿宋"/>
          <w:sz w:val="28"/>
          <w:szCs w:val="28"/>
        </w:rPr>
        <w:t>1</w:t>
      </w:r>
      <w:r>
        <w:rPr>
          <w:rFonts w:ascii="宋体" w:hAnsi="宋体" w:cs="仿宋"/>
          <w:sz w:val="28"/>
          <w:szCs w:val="28"/>
        </w:rPr>
        <w:t>.</w:t>
      </w:r>
      <w:r>
        <w:rPr>
          <w:rFonts w:hint="eastAsia" w:ascii="宋体" w:hAnsi="宋体" w:cs="仿宋"/>
          <w:sz w:val="28"/>
          <w:szCs w:val="28"/>
        </w:rPr>
        <w:t>宫承波主编：《广播电视创意与策划》，中国广播电视出版社</w:t>
      </w:r>
      <w:r>
        <w:rPr>
          <w:rFonts w:ascii="宋体" w:hAnsi="宋体" w:cs="仿宋"/>
          <w:sz w:val="28"/>
          <w:szCs w:val="28"/>
        </w:rPr>
        <w:t>2013</w:t>
      </w:r>
      <w:r>
        <w:rPr>
          <w:rFonts w:hint="eastAsia" w:ascii="宋体" w:hAnsi="宋体" w:cs="仿宋"/>
          <w:sz w:val="28"/>
          <w:szCs w:val="28"/>
        </w:rPr>
        <w:t>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AB07AA"/>
    <w:multiLevelType w:val="singleLevel"/>
    <w:tmpl w:val="60AB07AA"/>
    <w:lvl w:ilvl="0" w:tentative="0">
      <w:start w:val="3"/>
      <w:numFmt w:val="chineseCounting"/>
      <w:suff w:val="nothing"/>
      <w:lvlText w:val="（%1）"/>
      <w:lvlJc w:val="left"/>
    </w:lvl>
  </w:abstractNum>
  <w:abstractNum w:abstractNumId="1">
    <w:nsid w:val="65694391"/>
    <w:multiLevelType w:val="multilevel"/>
    <w:tmpl w:val="65694391"/>
    <w:lvl w:ilvl="0" w:tentative="0">
      <w:start w:val="1"/>
      <w:numFmt w:val="japaneseCounting"/>
      <w:lvlText w:val="%1、"/>
      <w:lvlJc w:val="left"/>
      <w:pPr>
        <w:ind w:left="1291" w:hanging="720"/>
      </w:pPr>
      <w:rPr>
        <w:rFonts w:hint="default"/>
      </w:rPr>
    </w:lvl>
    <w:lvl w:ilvl="1" w:tentative="0">
      <w:start w:val="1"/>
      <w:numFmt w:val="lowerLetter"/>
      <w:lvlText w:val="%2)"/>
      <w:lvlJc w:val="left"/>
      <w:pPr>
        <w:ind w:left="1451" w:hanging="440"/>
      </w:pPr>
    </w:lvl>
    <w:lvl w:ilvl="2" w:tentative="0">
      <w:start w:val="1"/>
      <w:numFmt w:val="lowerRoman"/>
      <w:lvlText w:val="%3."/>
      <w:lvlJc w:val="right"/>
      <w:pPr>
        <w:ind w:left="1891" w:hanging="440"/>
      </w:pPr>
    </w:lvl>
    <w:lvl w:ilvl="3" w:tentative="0">
      <w:start w:val="1"/>
      <w:numFmt w:val="decimal"/>
      <w:lvlText w:val="%4."/>
      <w:lvlJc w:val="left"/>
      <w:pPr>
        <w:ind w:left="2331" w:hanging="440"/>
      </w:pPr>
    </w:lvl>
    <w:lvl w:ilvl="4" w:tentative="0">
      <w:start w:val="1"/>
      <w:numFmt w:val="lowerLetter"/>
      <w:lvlText w:val="%5)"/>
      <w:lvlJc w:val="left"/>
      <w:pPr>
        <w:ind w:left="2771" w:hanging="440"/>
      </w:pPr>
    </w:lvl>
    <w:lvl w:ilvl="5" w:tentative="0">
      <w:start w:val="1"/>
      <w:numFmt w:val="lowerRoman"/>
      <w:lvlText w:val="%6."/>
      <w:lvlJc w:val="right"/>
      <w:pPr>
        <w:ind w:left="3211" w:hanging="440"/>
      </w:pPr>
    </w:lvl>
    <w:lvl w:ilvl="6" w:tentative="0">
      <w:start w:val="1"/>
      <w:numFmt w:val="decimal"/>
      <w:lvlText w:val="%7."/>
      <w:lvlJc w:val="left"/>
      <w:pPr>
        <w:ind w:left="3651" w:hanging="440"/>
      </w:pPr>
    </w:lvl>
    <w:lvl w:ilvl="7" w:tentative="0">
      <w:start w:val="1"/>
      <w:numFmt w:val="lowerLetter"/>
      <w:lvlText w:val="%8)"/>
      <w:lvlJc w:val="left"/>
      <w:pPr>
        <w:ind w:left="4091" w:hanging="440"/>
      </w:pPr>
    </w:lvl>
    <w:lvl w:ilvl="8" w:tentative="0">
      <w:start w:val="1"/>
      <w:numFmt w:val="lowerRoman"/>
      <w:lvlText w:val="%9."/>
      <w:lvlJc w:val="right"/>
      <w:pPr>
        <w:ind w:left="4531"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0618D6"/>
    <w:rsid w:val="000004FA"/>
    <w:rsid w:val="00013058"/>
    <w:rsid w:val="000618D6"/>
    <w:rsid w:val="000706BA"/>
    <w:rsid w:val="000A185F"/>
    <w:rsid w:val="000A67C1"/>
    <w:rsid w:val="00104405"/>
    <w:rsid w:val="0013470D"/>
    <w:rsid w:val="001F517E"/>
    <w:rsid w:val="00233360"/>
    <w:rsid w:val="00270FE2"/>
    <w:rsid w:val="002A0F12"/>
    <w:rsid w:val="002C58E0"/>
    <w:rsid w:val="002E20D1"/>
    <w:rsid w:val="002F3A72"/>
    <w:rsid w:val="00330E58"/>
    <w:rsid w:val="00341D29"/>
    <w:rsid w:val="0037423B"/>
    <w:rsid w:val="004A087D"/>
    <w:rsid w:val="00553FA2"/>
    <w:rsid w:val="005F68AE"/>
    <w:rsid w:val="00637B77"/>
    <w:rsid w:val="006E7C47"/>
    <w:rsid w:val="007E033E"/>
    <w:rsid w:val="007E44BE"/>
    <w:rsid w:val="008A7612"/>
    <w:rsid w:val="009418E3"/>
    <w:rsid w:val="00941D8E"/>
    <w:rsid w:val="009764CF"/>
    <w:rsid w:val="009E5A96"/>
    <w:rsid w:val="00A17AA7"/>
    <w:rsid w:val="00A924B1"/>
    <w:rsid w:val="00AE1E8C"/>
    <w:rsid w:val="00BA6F1E"/>
    <w:rsid w:val="00BE03E5"/>
    <w:rsid w:val="00C403BE"/>
    <w:rsid w:val="00C91066"/>
    <w:rsid w:val="00CB4B05"/>
    <w:rsid w:val="00D31D19"/>
    <w:rsid w:val="00FD0153"/>
    <w:rsid w:val="00FE791A"/>
    <w:rsid w:val="15344354"/>
    <w:rsid w:val="1D265AB4"/>
    <w:rsid w:val="2E4B5AC8"/>
    <w:rsid w:val="2FC6027C"/>
    <w:rsid w:val="5DF318EA"/>
    <w:rsid w:val="610F6BC4"/>
    <w:rsid w:val="755E3979"/>
    <w:rsid w:val="7C9A7B68"/>
    <w:rsid w:val="EA77A04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rFonts w:ascii="Times New Roman" w:hAnsi="Times New Roman" w:eastAsia="宋体" w:cs="Times New Roman"/>
      <w:kern w:val="2"/>
      <w:sz w:val="18"/>
      <w:szCs w:val="18"/>
    </w:rPr>
  </w:style>
  <w:style w:type="character" w:customStyle="1" w:styleId="7">
    <w:name w:val="页脚 字符"/>
    <w:basedOn w:val="5"/>
    <w:link w:val="2"/>
    <w:semiHidden/>
    <w:qFormat/>
    <w:uiPriority w:val="99"/>
    <w:rPr>
      <w:rFonts w:ascii="Times New Roman" w:hAnsi="Times New Roman" w:eastAsia="宋体" w:cs="Times New Roman"/>
      <w:kern w:val="2"/>
      <w:sz w:val="18"/>
      <w:szCs w:val="18"/>
    </w:rPr>
  </w:style>
  <w:style w:type="paragraph" w:styleId="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1</Company>
  <Pages>2</Pages>
  <Words>108</Words>
  <Characters>620</Characters>
  <Lines>5</Lines>
  <Paragraphs>1</Paragraphs>
  <TotalTime>6</TotalTime>
  <ScaleCrop>false</ScaleCrop>
  <LinksUpToDate>false</LinksUpToDate>
  <CharactersWithSpaces>727</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2021-05-21T10:54:00Z</dcterms:created>
  <dc:creator>1 1</dc:creator>
  <cp:lastModifiedBy>Administrator</cp:lastModifiedBy>
  <dcterms:modified xsi:type="dcterms:W3CDTF">2023-08-03T03:27:37Z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560FDD1B7A8D4C57A677FF166EDE35A7</vt:lpwstr>
  </property>
</Properties>
</file>