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E1" w:rsidRDefault="0095070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7B2CE1" w:rsidRDefault="0095070B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807</w:t>
      </w:r>
      <w:bookmarkStart w:id="0" w:name="_GoBack"/>
      <w:bookmarkEnd w:id="0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分析化学</w:t>
      </w:r>
    </w:p>
    <w:p w:rsidR="007B2CE1" w:rsidRDefault="0095070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单选题；填空题；判断题；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；计算</w:t>
      </w:r>
      <w:r>
        <w:rPr>
          <w:rFonts w:ascii="仿宋" w:eastAsia="仿宋" w:hAnsi="仿宋" w:cs="仿宋" w:hint="eastAsia"/>
          <w:sz w:val="28"/>
          <w:szCs w:val="28"/>
        </w:rPr>
        <w:t>题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分析化学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分析化学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分析化学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>
        <w:rPr>
          <w:rFonts w:ascii="仿宋" w:eastAsia="仿宋" w:hAnsi="仿宋" w:cs="仿宋" w:hint="eastAsia"/>
          <w:sz w:val="28"/>
          <w:szCs w:val="28"/>
        </w:rPr>
        <w:t>实际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概论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分析化学的任务和作用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分析方法的分类，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滴定分析概述。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分析化学中的误差与数据处理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分析化学中的误差，有效数字及其运算规则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标准偏差，随机误差的正态分布，误差的传递，提高分析结果准确度的方法。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酸碱滴定法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分布分数δ的计算，质子条件与</w:t>
      </w:r>
      <w:r>
        <w:rPr>
          <w:rFonts w:ascii="仿宋" w:eastAsia="仿宋" w:hAnsi="仿宋" w:cs="仿宋" w:hint="eastAsia"/>
          <w:sz w:val="28"/>
          <w:szCs w:val="28"/>
        </w:rPr>
        <w:t>pH</w:t>
      </w:r>
      <w:r>
        <w:rPr>
          <w:rFonts w:ascii="仿宋" w:eastAsia="仿宋" w:hAnsi="仿宋" w:cs="仿宋" w:hint="eastAsia"/>
          <w:sz w:val="28"/>
          <w:szCs w:val="28"/>
        </w:rPr>
        <w:t>的计算，酸碱缓冲溶液，酸碱指示剂，酸碱滴定基本原理，终点误差，酸碱滴定法的应用。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</w:t>
      </w:r>
      <w:r>
        <w:rPr>
          <w:rFonts w:ascii="仿宋" w:eastAsia="仿宋" w:hAnsi="仿宋" w:cs="仿宋" w:hint="eastAsia"/>
          <w:sz w:val="28"/>
          <w:szCs w:val="28"/>
        </w:rPr>
        <w:t>络合滴定法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分析化学中常用的络合物，络合物的平衡常数，副反应常数和条件稳定常数，金属离子指示剂，络合滴定法的基本原</w:t>
      </w:r>
      <w:r>
        <w:rPr>
          <w:rFonts w:ascii="仿宋" w:eastAsia="仿宋" w:hAnsi="仿宋" w:cs="仿宋" w:hint="eastAsia"/>
          <w:sz w:val="28"/>
          <w:szCs w:val="28"/>
        </w:rPr>
        <w:t>理，络合滴定中酸度的控制，提高络合滴定选择性的途径，络合滴定方式及其应用。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>
        <w:rPr>
          <w:rFonts w:ascii="仿宋" w:eastAsia="仿宋" w:hAnsi="仿宋" w:cs="仿宋" w:hint="eastAsia"/>
          <w:sz w:val="28"/>
          <w:szCs w:val="28"/>
        </w:rPr>
        <w:t>氧化还原滴定法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氧化还原平衡，氧化还原滴定原理，氧化还原滴定指示剂</w:t>
      </w:r>
      <w:r>
        <w:rPr>
          <w:rFonts w:ascii="仿宋" w:eastAsia="仿宋" w:hAnsi="仿宋" w:cs="仿宋" w:hint="eastAsia"/>
          <w:sz w:val="28"/>
          <w:szCs w:val="28"/>
        </w:rPr>
        <w:t>，氧化还原滴定法的应用及相关计算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</w:t>
      </w:r>
      <w:r>
        <w:rPr>
          <w:rFonts w:ascii="仿宋" w:eastAsia="仿宋" w:hAnsi="仿宋" w:cs="仿宋" w:hint="eastAsia"/>
          <w:sz w:val="28"/>
          <w:szCs w:val="28"/>
        </w:rPr>
        <w:t>沉淀滴定法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沉淀滴定法，沉淀滴定终点指示剂和沉淀滴定分析方法。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</w:t>
      </w:r>
      <w:r>
        <w:rPr>
          <w:rFonts w:ascii="仿宋" w:eastAsia="仿宋" w:hAnsi="仿宋" w:cs="仿宋" w:hint="eastAsia"/>
          <w:sz w:val="28"/>
          <w:szCs w:val="28"/>
        </w:rPr>
        <w:t>重量分析法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重量分析概述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重量分析中的换算因素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沉淀的溶解度及其影响因素，沉淀的类型和沉淀的形成过程，影响沉淀纯度的主要影响因素，沉淀条件的选择。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吸光光度法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光度分析法的设计，光度分析法的误差，其它吸光光度法和光度分析法的应用。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9.</w:t>
      </w:r>
      <w:r>
        <w:rPr>
          <w:rFonts w:ascii="仿宋" w:eastAsia="仿宋" w:hAnsi="仿宋" w:cs="仿宋" w:hint="eastAsia"/>
          <w:sz w:val="28"/>
          <w:szCs w:val="28"/>
        </w:rPr>
        <w:t>分析化学中常用的分离和富集方法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液</w:t>
      </w:r>
      <w:r>
        <w:rPr>
          <w:rFonts w:ascii="仿宋" w:eastAsia="仿宋" w:hAnsi="仿宋" w:cs="仿宋" w:hint="eastAsia"/>
          <w:sz w:val="28"/>
          <w:szCs w:val="28"/>
        </w:rPr>
        <w:t>-</w:t>
      </w:r>
      <w:r>
        <w:rPr>
          <w:rFonts w:ascii="仿宋" w:eastAsia="仿宋" w:hAnsi="仿宋" w:cs="仿宋" w:hint="eastAsia"/>
          <w:sz w:val="28"/>
          <w:szCs w:val="28"/>
        </w:rPr>
        <w:t>液萃取分离法，离子交换分离法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7B2CE1" w:rsidRDefault="0095070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武汉大学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 w:hint="eastAsia"/>
          <w:sz w:val="28"/>
          <w:szCs w:val="28"/>
        </w:rPr>
        <w:t>分析化学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 w:rsidR="00AB6587">
        <w:rPr>
          <w:rFonts w:ascii="仿宋" w:eastAsia="仿宋" w:hAnsi="仿宋" w:cs="仿宋" w:hint="eastAsia"/>
          <w:sz w:val="28"/>
          <w:szCs w:val="28"/>
        </w:rPr>
        <w:t>第六版，</w:t>
      </w:r>
      <w:r>
        <w:rPr>
          <w:rFonts w:ascii="仿宋" w:eastAsia="仿宋" w:hAnsi="仿宋" w:cs="仿宋" w:hint="eastAsia"/>
          <w:sz w:val="28"/>
          <w:szCs w:val="28"/>
        </w:rPr>
        <w:t>高等</w:t>
      </w:r>
      <w:r>
        <w:rPr>
          <w:rFonts w:ascii="仿宋" w:eastAsia="仿宋" w:hAnsi="仿宋" w:cs="仿宋" w:hint="eastAsia"/>
          <w:sz w:val="28"/>
          <w:szCs w:val="28"/>
        </w:rPr>
        <w:t>教育出版社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 w:rsidR="00AB6587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p w:rsidR="007B2CE1" w:rsidRDefault="007B2CE1"/>
    <w:p w:rsidR="007B2CE1" w:rsidRDefault="007B2CE1"/>
    <w:sectPr w:rsidR="007B2CE1" w:rsidSect="007B2C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70B" w:rsidRDefault="0095070B" w:rsidP="00AB6587">
      <w:r>
        <w:separator/>
      </w:r>
    </w:p>
  </w:endnote>
  <w:endnote w:type="continuationSeparator" w:id="0">
    <w:p w:rsidR="0095070B" w:rsidRDefault="0095070B" w:rsidP="00AB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70B" w:rsidRDefault="0095070B" w:rsidP="00AB6587">
      <w:r>
        <w:separator/>
      </w:r>
    </w:p>
  </w:footnote>
  <w:footnote w:type="continuationSeparator" w:id="0">
    <w:p w:rsidR="0095070B" w:rsidRDefault="0095070B" w:rsidP="00AB65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B2CE1"/>
    <w:rsid w:val="007E44BE"/>
    <w:rsid w:val="008A7612"/>
    <w:rsid w:val="009418E3"/>
    <w:rsid w:val="0095070B"/>
    <w:rsid w:val="009764CF"/>
    <w:rsid w:val="009E5A96"/>
    <w:rsid w:val="00A17AA7"/>
    <w:rsid w:val="00AB6587"/>
    <w:rsid w:val="023C18E2"/>
    <w:rsid w:val="0BE0086D"/>
    <w:rsid w:val="1D265AB4"/>
    <w:rsid w:val="42BE5532"/>
    <w:rsid w:val="54527161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E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6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6587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6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658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</Words>
  <Characters>714</Characters>
  <Application>Microsoft Office Word</Application>
  <DocSecurity>0</DocSecurity>
  <Lines>5</Lines>
  <Paragraphs>1</Paragraphs>
  <ScaleCrop>false</ScaleCrop>
  <Company>1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3</cp:revision>
  <dcterms:created xsi:type="dcterms:W3CDTF">2017-07-13T01:41:00Z</dcterms:created>
  <dcterms:modified xsi:type="dcterms:W3CDTF">2020-06-26T12:35:00Z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