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E2A" w:rsidRDefault="00636E77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395E2A" w:rsidRDefault="00636E77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C90CD5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数学教育学</w:t>
      </w:r>
    </w:p>
    <w:p w:rsidR="00395E2A" w:rsidRDefault="00636E77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Pr="00C90CD5">
        <w:rPr>
          <w:rFonts w:ascii="仿宋" w:eastAsia="仿宋" w:hAnsi="仿宋" w:cs="仿宋" w:hint="eastAsia"/>
          <w:sz w:val="28"/>
          <w:szCs w:val="28"/>
        </w:rPr>
        <w:t>1</w:t>
      </w:r>
      <w:r w:rsidR="00C90CD5" w:rsidRPr="00C90CD5"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数学教育学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数学教育学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数学教育学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>
        <w:rPr>
          <w:rFonts w:ascii="仿宋" w:eastAsia="仿宋" w:hAnsi="仿宋" w:cs="仿宋" w:hint="eastAsia"/>
          <w:sz w:val="28"/>
          <w:szCs w:val="28"/>
        </w:rPr>
        <w:t>数学教育教学</w:t>
      </w:r>
      <w:r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（一）绪论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数学教育简史；数学和数学教育的关系。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（二）与时俱进的数学教育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世纪我国数学教育观的变化；国际视野下的中国数学教育；我国影响较大的几次数学教改实验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95E2A" w:rsidRDefault="00636E77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数学教育的基本理论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弗赖登塔尔的数学教育理论；波利亚的数学教育观；建构主义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的数学教育理论；我国“双基”数学教学；</w:t>
      </w:r>
      <w:r>
        <w:rPr>
          <w:rFonts w:ascii="仿宋" w:eastAsia="仿宋" w:hAnsi="仿宋" w:cs="仿宋" w:hint="eastAsia"/>
          <w:sz w:val="28"/>
          <w:szCs w:val="28"/>
        </w:rPr>
        <w:t>双基教学的经验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（四）数学教育的核心内容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数学教育的基本功能；数学教学的原则；数学能力；数学思想方法的教学；</w:t>
      </w:r>
      <w:r>
        <w:rPr>
          <w:rFonts w:ascii="仿宋" w:eastAsia="仿宋" w:hAnsi="仿宋" w:cs="仿宋" w:hint="eastAsia"/>
          <w:sz w:val="28"/>
          <w:szCs w:val="28"/>
        </w:rPr>
        <w:t>基本数学活动经验；数学教学模式。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（五）数学教育研究的一些特定课题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数学教学中数学本质的揭示；学习心理学与数学教育；数学史与数学教育；数学教育技术；数学学差生的诊断与转化。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（六）数学课程的制定与改革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《普通高中数学课程标准》的基本理念；数学建模与数学课程；研究性学习与数学课程。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（七）数学问题与数学考试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数学问题；数学问题解决的教学；数学考试中的命题探讨。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（八）数学教育研究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数学教育研究的有关认识；数学教育论文写作。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（九）数学课堂教学观摩与评析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数学课堂教学观摩；数学课堂教学评析。</w:t>
      </w:r>
    </w:p>
    <w:p w:rsidR="00395E2A" w:rsidRDefault="00636E77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数学课堂教学基本技能训练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如何吸引学生；如何启发学生；如何与学生交流；如何组织学生。</w:t>
      </w:r>
    </w:p>
    <w:p w:rsidR="00395E2A" w:rsidRDefault="00636E77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数学教学设计</w:t>
      </w:r>
    </w:p>
    <w:p w:rsidR="00395E2A" w:rsidRDefault="00636E7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数学教学目标；教学重点；教学难点；优秀教学设计的基本要求。</w:t>
      </w:r>
    </w:p>
    <w:p w:rsidR="00395E2A" w:rsidRDefault="00636E77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（十二）数学教育实习前的准备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说课；微格教学。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395E2A" w:rsidRDefault="00636E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张奠宙，宋乃庆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 w:hint="eastAsia"/>
          <w:sz w:val="28"/>
          <w:szCs w:val="28"/>
        </w:rPr>
        <w:t>数学教育概论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>
        <w:rPr>
          <w:rFonts w:ascii="仿宋" w:eastAsia="仿宋" w:hAnsi="仿宋" w:cs="仿宋" w:hint="eastAsia"/>
          <w:sz w:val="28"/>
          <w:szCs w:val="28"/>
        </w:rPr>
        <w:t>高等</w:t>
      </w:r>
      <w:r>
        <w:rPr>
          <w:rFonts w:ascii="仿宋" w:eastAsia="仿宋" w:hAnsi="仿宋" w:cs="仿宋" w:hint="eastAsia"/>
          <w:sz w:val="28"/>
          <w:szCs w:val="28"/>
        </w:rPr>
        <w:t>教育出版社</w:t>
      </w:r>
      <w:r>
        <w:rPr>
          <w:rFonts w:ascii="仿宋" w:eastAsia="仿宋" w:hAnsi="仿宋" w:cs="仿宋" w:hint="eastAsia"/>
          <w:sz w:val="28"/>
          <w:szCs w:val="28"/>
        </w:rPr>
        <w:t>200</w:t>
      </w:r>
      <w:r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年。</w:t>
      </w:r>
      <w:bookmarkStart w:id="0" w:name="_GoBack"/>
      <w:bookmarkEnd w:id="0"/>
    </w:p>
    <w:p w:rsidR="00395E2A" w:rsidRDefault="00395E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95E2A" w:rsidRDefault="00395E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95E2A" w:rsidRDefault="00395E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95E2A" w:rsidRDefault="00395E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95E2A" w:rsidRDefault="00395E2A"/>
    <w:p w:rsidR="00395E2A" w:rsidRDefault="00395E2A"/>
    <w:sectPr w:rsidR="00395E2A" w:rsidSect="00395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77" w:rsidRDefault="00636E77" w:rsidP="00C90CD5">
      <w:r>
        <w:separator/>
      </w:r>
    </w:p>
  </w:endnote>
  <w:endnote w:type="continuationSeparator" w:id="0">
    <w:p w:rsidR="00636E77" w:rsidRDefault="00636E77" w:rsidP="00C90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77" w:rsidRDefault="00636E77" w:rsidP="00C90CD5">
      <w:r>
        <w:separator/>
      </w:r>
    </w:p>
  </w:footnote>
  <w:footnote w:type="continuationSeparator" w:id="0">
    <w:p w:rsidR="00636E77" w:rsidRDefault="00636E77" w:rsidP="00C90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4E5ADE"/>
    <w:multiLevelType w:val="singleLevel"/>
    <w:tmpl w:val="BE4E5ADE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921B128"/>
    <w:multiLevelType w:val="singleLevel"/>
    <w:tmpl w:val="F921B128"/>
    <w:lvl w:ilvl="0">
      <w:start w:val="10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395E2A"/>
    <w:rsid w:val="00636E77"/>
    <w:rsid w:val="00637B77"/>
    <w:rsid w:val="007E44BE"/>
    <w:rsid w:val="008A7612"/>
    <w:rsid w:val="009418E3"/>
    <w:rsid w:val="009764CF"/>
    <w:rsid w:val="009E5A96"/>
    <w:rsid w:val="00A17AA7"/>
    <w:rsid w:val="00C90CD5"/>
    <w:rsid w:val="10F46102"/>
    <w:rsid w:val="112E077A"/>
    <w:rsid w:val="1D265AB4"/>
    <w:rsid w:val="33601558"/>
    <w:rsid w:val="3B7934C7"/>
    <w:rsid w:val="44D136BD"/>
    <w:rsid w:val="47A03485"/>
    <w:rsid w:val="54BC60E3"/>
    <w:rsid w:val="55476459"/>
    <w:rsid w:val="755E3979"/>
    <w:rsid w:val="7A60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0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0CD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0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0CD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</Words>
  <Characters>747</Characters>
  <Application>Microsoft Office Word</Application>
  <DocSecurity>0</DocSecurity>
  <Lines>6</Lines>
  <Paragraphs>1</Paragraphs>
  <ScaleCrop>false</ScaleCrop>
  <Company>1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3</cp:revision>
  <dcterms:created xsi:type="dcterms:W3CDTF">2017-07-13T01:41:00Z</dcterms:created>
  <dcterms:modified xsi:type="dcterms:W3CDTF">2020-07-01T02:07:00Z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