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对外汉语教育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仿宋" w:hAnsi="仿宋" w:eastAsia="仿宋" w:cs="仿宋"/>
          <w:sz w:val="28"/>
          <w:szCs w:val="28"/>
        </w:rPr>
        <w:t>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对外汉语教育的学科任务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及</w:t>
      </w:r>
      <w:r>
        <w:rPr>
          <w:rFonts w:hint="eastAsia" w:ascii="仿宋" w:hAnsi="仿宋" w:eastAsia="仿宋" w:cs="仿宋"/>
          <w:sz w:val="28"/>
          <w:szCs w:val="28"/>
        </w:rPr>
        <w:t>学科体系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对外汉语教育的性质和特点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对外汉语教育的发展与现状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对外汉语教育的理论基础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对外汉语教学的心理学基础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语言习得有关理论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第二语言教学法主要流派与发展趋向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>中国传统文化的发展历程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和</w:t>
      </w:r>
      <w:r>
        <w:rPr>
          <w:rFonts w:hint="eastAsia" w:ascii="仿宋" w:hAnsi="仿宋" w:eastAsia="仿宋" w:cs="仿宋"/>
          <w:sz w:val="28"/>
          <w:szCs w:val="28"/>
        </w:rPr>
        <w:t>人文精神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人本主义学习理论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28"/>
        </w:rPr>
        <w:t>建构主义学习理论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</w:rPr>
        <w:t>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28"/>
        </w:rPr>
        <w:t>教学成效的测量与评价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hanging="5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刘珣《对外汉语教育学引论》，北京语言大学出版社2000年；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hanging="5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张岱年、方克立《中国文化概论》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北京师范大学出版社 2004年；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hanging="5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冯忠良、伍新春、姚梅林、王健敏著《教育心理学》,人民教育出版社2000年版。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BE38AF"/>
    <w:multiLevelType w:val="singleLevel"/>
    <w:tmpl w:val="FABE38A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09E343B"/>
    <w:rsid w:val="1B5D76DC"/>
    <w:rsid w:val="1D265AB4"/>
    <w:rsid w:val="36FA5A33"/>
    <w:rsid w:val="3C4C2688"/>
    <w:rsid w:val="4D2826E2"/>
    <w:rsid w:val="5A88263F"/>
    <w:rsid w:val="600C3A7A"/>
    <w:rsid w:val="616D245E"/>
    <w:rsid w:val="755E3979"/>
    <w:rsid w:val="7917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cp:lastPrinted>2020-09-07T02:23:00Z</cp:lastPrinted>
  <dcterms:modified xsi:type="dcterms:W3CDTF">2020-09-07T03:19:51Z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