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01BD70" w14:textId="0AE5288B" w:rsidR="00E259D3" w:rsidRDefault="00E259D3" w:rsidP="00E259D3">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14:paraId="038B6465" w14:textId="0EF0F875" w:rsidR="00E259D3" w:rsidRPr="004A6398" w:rsidRDefault="00E259D3" w:rsidP="00E259D3">
      <w:pPr>
        <w:spacing w:line="360" w:lineRule="auto"/>
        <w:jc w:val="center"/>
        <w:rPr>
          <w:b/>
          <w:kern w:val="0"/>
        </w:rPr>
      </w:pPr>
      <w:r>
        <w:rPr>
          <w:rFonts w:ascii="仿宋" w:eastAsia="仿宋" w:hAnsi="仿宋" w:cs="仿宋" w:hint="eastAsia"/>
          <w:color w:val="000000" w:themeColor="text1"/>
          <w:sz w:val="28"/>
          <w:szCs w:val="28"/>
        </w:rPr>
        <w:t>考试科目代码：[</w:t>
      </w:r>
      <w:r w:rsidRPr="00E259D3">
        <w:rPr>
          <w:rFonts w:ascii="仿宋" w:eastAsia="仿宋" w:hAnsi="仿宋" w:cs="仿宋"/>
          <w:color w:val="000000" w:themeColor="text1"/>
          <w:sz w:val="28"/>
          <w:szCs w:val="28"/>
        </w:rPr>
        <w:t>445</w:t>
      </w:r>
      <w:r>
        <w:rPr>
          <w:rFonts w:ascii="仿宋" w:eastAsia="仿宋" w:hAnsi="仿宋" w:cs="仿宋" w:hint="eastAsia"/>
          <w:color w:val="000000" w:themeColor="text1"/>
          <w:sz w:val="28"/>
          <w:szCs w:val="28"/>
        </w:rPr>
        <w:t>]          考试科目名称：</w:t>
      </w:r>
      <w:r w:rsidRPr="004A6398">
        <w:rPr>
          <w:rFonts w:ascii="仿宋" w:eastAsia="仿宋" w:hAnsi="仿宋" w:hint="eastAsia"/>
          <w:kern w:val="0"/>
          <w:sz w:val="28"/>
          <w:szCs w:val="28"/>
        </w:rPr>
        <w:t>汉语国际教育基础</w:t>
      </w:r>
    </w:p>
    <w:p w14:paraId="4F938619" w14:textId="77777777" w:rsidR="00E259D3" w:rsidRPr="004A6398" w:rsidRDefault="00E259D3" w:rsidP="00E259D3">
      <w:pPr>
        <w:ind w:firstLineChars="152" w:firstLine="426"/>
        <w:rPr>
          <w:rFonts w:ascii="仿宋" w:eastAsia="仿宋" w:hAnsi="仿宋" w:cs="仿宋"/>
          <w:sz w:val="28"/>
          <w:szCs w:val="28"/>
        </w:rPr>
      </w:pPr>
      <w:r w:rsidRPr="004A6398">
        <w:rPr>
          <w:rFonts w:ascii="仿宋" w:eastAsia="仿宋" w:hAnsi="仿宋" w:cs="仿宋" w:hint="eastAsia"/>
          <w:sz w:val="28"/>
          <w:szCs w:val="28"/>
        </w:rPr>
        <w:t>一、考试形式与试卷结构</w:t>
      </w:r>
    </w:p>
    <w:p w14:paraId="698C5754" w14:textId="77777777" w:rsidR="00E259D3" w:rsidRPr="004A6398" w:rsidRDefault="00E259D3" w:rsidP="00E259D3">
      <w:pPr>
        <w:ind w:firstLineChars="152" w:firstLine="426"/>
        <w:rPr>
          <w:rFonts w:ascii="仿宋" w:eastAsia="仿宋" w:hAnsi="仿宋" w:cs="仿宋"/>
          <w:sz w:val="28"/>
          <w:szCs w:val="28"/>
        </w:rPr>
      </w:pPr>
      <w:r w:rsidRPr="004A6398">
        <w:rPr>
          <w:rFonts w:ascii="仿宋" w:eastAsia="仿宋" w:hAnsi="仿宋" w:cs="仿宋" w:hint="eastAsia"/>
          <w:sz w:val="28"/>
          <w:szCs w:val="28"/>
        </w:rPr>
        <w:t>（一）试卷成绩及考试时间</w:t>
      </w:r>
    </w:p>
    <w:p w14:paraId="47FF2115"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试卷满分为150分，考试时间为180分钟。</w:t>
      </w:r>
    </w:p>
    <w:p w14:paraId="21A50E3A" w14:textId="77777777" w:rsidR="00E259D3" w:rsidRPr="004A6398" w:rsidRDefault="00E259D3" w:rsidP="00E259D3">
      <w:pPr>
        <w:spacing w:beforeLines="50" w:before="156" w:afterLines="50" w:after="156"/>
        <w:ind w:firstLineChars="152" w:firstLine="426"/>
        <w:rPr>
          <w:rFonts w:ascii="仿宋" w:eastAsia="仿宋" w:hAnsi="仿宋"/>
          <w:kern w:val="0"/>
          <w:sz w:val="28"/>
          <w:szCs w:val="28"/>
        </w:rPr>
      </w:pPr>
      <w:r w:rsidRPr="004A6398">
        <w:rPr>
          <w:rFonts w:ascii="仿宋" w:eastAsia="仿宋" w:hAnsi="仿宋" w:hint="eastAsia"/>
          <w:kern w:val="0"/>
          <w:sz w:val="28"/>
          <w:szCs w:val="28"/>
        </w:rPr>
        <w:t>（二）答题方式</w:t>
      </w:r>
    </w:p>
    <w:p w14:paraId="541F9A9D"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答题方式为闭卷、笔试。</w:t>
      </w:r>
    </w:p>
    <w:p w14:paraId="5B7B672E"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试卷由试题和答题纸组成。答案必须写在答题纸相应的位置上。</w:t>
      </w:r>
    </w:p>
    <w:p w14:paraId="28322A00" w14:textId="77777777" w:rsidR="00E259D3" w:rsidRPr="004A6398" w:rsidRDefault="00E259D3" w:rsidP="00E259D3">
      <w:pPr>
        <w:ind w:firstLineChars="152" w:firstLine="426"/>
        <w:rPr>
          <w:rFonts w:ascii="仿宋" w:eastAsia="仿宋" w:hAnsi="仿宋" w:cs="仿宋"/>
          <w:sz w:val="28"/>
          <w:szCs w:val="28"/>
        </w:rPr>
      </w:pPr>
      <w:r w:rsidRPr="004A6398">
        <w:rPr>
          <w:rFonts w:ascii="仿宋" w:eastAsia="仿宋" w:hAnsi="仿宋" w:cs="仿宋" w:hint="eastAsia"/>
          <w:sz w:val="28"/>
          <w:szCs w:val="28"/>
        </w:rPr>
        <w:t>（三）试卷结构</w:t>
      </w:r>
    </w:p>
    <w:p w14:paraId="2782171F"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中外文化及跨文化交际基础知识80分，教育、心理及语言教学基础知识30分，材料分析写作40分。</w:t>
      </w:r>
    </w:p>
    <w:p w14:paraId="44BDC0ED" w14:textId="77777777" w:rsidR="00E259D3" w:rsidRPr="004A6398" w:rsidRDefault="00E259D3" w:rsidP="00E259D3">
      <w:pPr>
        <w:spacing w:beforeLines="50" w:before="156" w:afterLines="50" w:after="156"/>
        <w:ind w:firstLineChars="152" w:firstLine="426"/>
        <w:rPr>
          <w:rFonts w:ascii="仿宋" w:eastAsia="仿宋" w:hAnsi="仿宋"/>
          <w:kern w:val="0"/>
          <w:sz w:val="28"/>
          <w:szCs w:val="28"/>
        </w:rPr>
      </w:pPr>
      <w:r w:rsidRPr="004A6398">
        <w:rPr>
          <w:rFonts w:ascii="仿宋" w:eastAsia="仿宋" w:hAnsi="仿宋" w:hint="eastAsia"/>
          <w:kern w:val="0"/>
          <w:sz w:val="28"/>
          <w:szCs w:val="28"/>
        </w:rPr>
        <w:t>（四）试卷题型比例</w:t>
      </w:r>
    </w:p>
    <w:p w14:paraId="3E9F1492"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中外文化及跨文化交际基础知识   80分</w:t>
      </w:r>
    </w:p>
    <w:p w14:paraId="77E50206"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填空题30题，每小题1分，共30分</w:t>
      </w:r>
    </w:p>
    <w:p w14:paraId="278B89FB"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判断题15题，每小题1分，共15分</w:t>
      </w:r>
    </w:p>
    <w:p w14:paraId="2F3927F1"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选择题35题，每小题1分，共35分</w:t>
      </w:r>
    </w:p>
    <w:p w14:paraId="3EBE2683"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教育、心理及语言教学基础知识   30分</w:t>
      </w:r>
    </w:p>
    <w:p w14:paraId="1FD840E4"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填空题10题，每小题1分，共10分</w:t>
      </w:r>
    </w:p>
    <w:p w14:paraId="463E2160"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判断题10题，每小题1分，共10分</w:t>
      </w:r>
    </w:p>
    <w:p w14:paraId="589342B4"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选择题10题，每小题1分，共10分</w:t>
      </w:r>
    </w:p>
    <w:p w14:paraId="2472E3A3"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案例分析写作   40分</w:t>
      </w:r>
    </w:p>
    <w:p w14:paraId="66939B6F"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lastRenderedPageBreak/>
        <w:t>写作题为论说文。论说文的考试形式有两种：</w:t>
      </w:r>
    </w:p>
    <w:p w14:paraId="47BEEC82"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1.基于文字材料的自由命题作文；</w:t>
      </w:r>
    </w:p>
    <w:p w14:paraId="02840262"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2.基于文字材料的案例分析。</w:t>
      </w:r>
    </w:p>
    <w:p w14:paraId="1D5C2433"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每次考试为其中的一种形式。要求考生在准确、全面地理解所给文字材料和题意的基础上，写出思想健康、观点明确、内容充实、结构严谨、条理清楚、语言规范、卷面清洁的文章，鼓励考生结合实际发挥创造性。</w:t>
      </w:r>
    </w:p>
    <w:p w14:paraId="72E56DA7" w14:textId="77777777" w:rsidR="00E259D3" w:rsidRPr="004A6398" w:rsidRDefault="00E259D3" w:rsidP="00E259D3">
      <w:pPr>
        <w:ind w:firstLineChars="152" w:firstLine="426"/>
        <w:rPr>
          <w:rFonts w:ascii="仿宋" w:eastAsia="仿宋" w:hAnsi="仿宋"/>
          <w:kern w:val="0"/>
          <w:sz w:val="28"/>
          <w:szCs w:val="28"/>
        </w:rPr>
      </w:pPr>
    </w:p>
    <w:p w14:paraId="66AC8831" w14:textId="77777777" w:rsidR="00E259D3" w:rsidRPr="004A6398" w:rsidRDefault="00E259D3" w:rsidP="00E259D3">
      <w:pPr>
        <w:ind w:firstLineChars="152" w:firstLine="426"/>
        <w:rPr>
          <w:rFonts w:ascii="仿宋" w:eastAsia="仿宋" w:hAnsi="仿宋" w:cs="仿宋"/>
          <w:sz w:val="28"/>
          <w:szCs w:val="28"/>
        </w:rPr>
      </w:pPr>
      <w:r w:rsidRPr="004A6398">
        <w:rPr>
          <w:rFonts w:ascii="仿宋" w:eastAsia="仿宋" w:hAnsi="仿宋" w:cs="仿宋" w:hint="eastAsia"/>
          <w:sz w:val="28"/>
          <w:szCs w:val="28"/>
        </w:rPr>
        <w:t>二、考试目标：</w:t>
      </w:r>
    </w:p>
    <w:p w14:paraId="03F1A8A1"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(1)要求考生具有与国际汉语教学相关的中外文化及跨文化交际基础知识。</w:t>
      </w:r>
    </w:p>
    <w:p w14:paraId="68DEE062"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(2)要求考生具有与国际汉语教学相关的教育学、心理学和语言教学基础知识。</w:t>
      </w:r>
    </w:p>
    <w:p w14:paraId="4952FCC6" w14:textId="77777777" w:rsidR="00E259D3"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(3)要求考生具有较强的文字材料理解能力和书面语表达能力。</w:t>
      </w:r>
    </w:p>
    <w:p w14:paraId="0FB8045C" w14:textId="77777777" w:rsidR="00E259D3" w:rsidRPr="004A6398" w:rsidRDefault="00E259D3" w:rsidP="00E259D3">
      <w:pPr>
        <w:ind w:firstLineChars="152" w:firstLine="426"/>
        <w:rPr>
          <w:rFonts w:ascii="仿宋" w:eastAsia="仿宋" w:hAnsi="仿宋"/>
          <w:kern w:val="0"/>
          <w:sz w:val="28"/>
          <w:szCs w:val="28"/>
        </w:rPr>
      </w:pPr>
    </w:p>
    <w:p w14:paraId="218BFB64" w14:textId="77777777" w:rsidR="00E259D3" w:rsidRPr="004A6398" w:rsidRDefault="00E259D3" w:rsidP="00E259D3">
      <w:pPr>
        <w:ind w:firstLineChars="152" w:firstLine="426"/>
        <w:rPr>
          <w:rFonts w:ascii="仿宋" w:eastAsia="仿宋" w:hAnsi="仿宋" w:cs="仿宋"/>
          <w:sz w:val="28"/>
          <w:szCs w:val="28"/>
        </w:rPr>
      </w:pPr>
      <w:r w:rsidRPr="004A6398">
        <w:rPr>
          <w:rFonts w:ascii="仿宋" w:eastAsia="仿宋" w:hAnsi="仿宋" w:cs="仿宋" w:hint="eastAsia"/>
          <w:sz w:val="28"/>
          <w:szCs w:val="28"/>
        </w:rPr>
        <w:t>三、考试范围：</w:t>
      </w:r>
    </w:p>
    <w:p w14:paraId="1237E720"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汉语国际教育基础能力考试由“中外文化及跨文化交际基础知识”，“教育学、心理学及语言教学”，“材料分析写作”三部分组成。</w:t>
      </w:r>
    </w:p>
    <w:p w14:paraId="05AA6828" w14:textId="77777777" w:rsidR="00E259D3" w:rsidRPr="004A6398" w:rsidRDefault="00E259D3" w:rsidP="00E259D3">
      <w:pPr>
        <w:spacing w:beforeLines="50" w:before="156" w:afterLines="50" w:after="156"/>
        <w:ind w:firstLineChars="152" w:firstLine="426"/>
        <w:rPr>
          <w:rFonts w:ascii="仿宋" w:eastAsia="仿宋" w:hAnsi="仿宋"/>
          <w:kern w:val="0"/>
          <w:sz w:val="28"/>
          <w:szCs w:val="28"/>
        </w:rPr>
      </w:pPr>
      <w:r w:rsidRPr="004A6398">
        <w:rPr>
          <w:rFonts w:ascii="仿宋" w:eastAsia="仿宋" w:hAnsi="仿宋" w:hint="eastAsia"/>
          <w:kern w:val="0"/>
          <w:sz w:val="28"/>
          <w:szCs w:val="28"/>
        </w:rPr>
        <w:t>（一）中外文化及跨文化交际基础知识</w:t>
      </w:r>
    </w:p>
    <w:p w14:paraId="756A7C7A"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中外文化及跨文化交际基础知识部分测试以下内容：</w:t>
      </w:r>
    </w:p>
    <w:p w14:paraId="11364C22"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1. 中国文化基础知识</w:t>
      </w:r>
    </w:p>
    <w:p w14:paraId="6B1378E9"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2. 外国文化基础知识</w:t>
      </w:r>
    </w:p>
    <w:p w14:paraId="65126433"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lastRenderedPageBreak/>
        <w:t>3. 跨文化交际基础知识</w:t>
      </w:r>
    </w:p>
    <w:p w14:paraId="0D9AE58D" w14:textId="77777777" w:rsidR="00E259D3" w:rsidRPr="004A6398" w:rsidRDefault="00E259D3" w:rsidP="00E259D3">
      <w:pPr>
        <w:spacing w:beforeLines="50" w:before="156" w:afterLines="50" w:after="156"/>
        <w:ind w:firstLineChars="152" w:firstLine="426"/>
        <w:rPr>
          <w:rFonts w:ascii="仿宋" w:eastAsia="仿宋" w:hAnsi="仿宋"/>
          <w:kern w:val="0"/>
          <w:sz w:val="28"/>
          <w:szCs w:val="28"/>
        </w:rPr>
      </w:pPr>
      <w:r w:rsidRPr="004A6398">
        <w:rPr>
          <w:rFonts w:ascii="仿宋" w:eastAsia="仿宋" w:hAnsi="仿宋" w:hint="eastAsia"/>
          <w:kern w:val="0"/>
          <w:sz w:val="28"/>
          <w:szCs w:val="28"/>
        </w:rPr>
        <w:t>（二）教育、心理及语言教学基础知识</w:t>
      </w:r>
    </w:p>
    <w:p w14:paraId="0A6510B7"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教育、心理及语言教学基础知识部分测试以下内容：</w:t>
      </w:r>
    </w:p>
    <w:p w14:paraId="623F02B0"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1.教育学基础</w:t>
      </w:r>
    </w:p>
    <w:p w14:paraId="2656FB59"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2.心理学基础</w:t>
      </w:r>
    </w:p>
    <w:p w14:paraId="71F53DE6"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3.语言教学基础</w:t>
      </w:r>
    </w:p>
    <w:p w14:paraId="6854A613" w14:textId="77777777" w:rsidR="00E259D3" w:rsidRPr="004A6398" w:rsidRDefault="00E259D3" w:rsidP="00E259D3">
      <w:pPr>
        <w:spacing w:beforeLines="50" w:before="156" w:afterLines="50" w:after="156"/>
        <w:ind w:firstLineChars="152" w:firstLine="426"/>
        <w:rPr>
          <w:rFonts w:ascii="仿宋" w:eastAsia="仿宋" w:hAnsi="仿宋"/>
          <w:kern w:val="0"/>
          <w:sz w:val="28"/>
          <w:szCs w:val="28"/>
        </w:rPr>
      </w:pPr>
      <w:r w:rsidRPr="004A6398">
        <w:rPr>
          <w:rFonts w:ascii="仿宋" w:eastAsia="仿宋" w:hAnsi="仿宋" w:hint="eastAsia"/>
          <w:kern w:val="0"/>
          <w:sz w:val="28"/>
          <w:szCs w:val="28"/>
        </w:rPr>
        <w:t>（三）材料分析写作</w:t>
      </w:r>
    </w:p>
    <w:p w14:paraId="12741B1F"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材料分析写作部分测试以下内容：</w:t>
      </w:r>
    </w:p>
    <w:p w14:paraId="0B411D2D" w14:textId="77777777" w:rsidR="00E259D3" w:rsidRPr="004A6398"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1. 分析与实践能力</w:t>
      </w:r>
    </w:p>
    <w:p w14:paraId="5C090191" w14:textId="77777777" w:rsidR="00E259D3" w:rsidRDefault="00E259D3" w:rsidP="00E259D3">
      <w:pPr>
        <w:ind w:firstLineChars="152" w:firstLine="426"/>
        <w:rPr>
          <w:rFonts w:ascii="仿宋" w:eastAsia="仿宋" w:hAnsi="仿宋"/>
          <w:kern w:val="0"/>
          <w:sz w:val="28"/>
          <w:szCs w:val="28"/>
        </w:rPr>
      </w:pPr>
      <w:r w:rsidRPr="004A6398">
        <w:rPr>
          <w:rFonts w:ascii="仿宋" w:eastAsia="仿宋" w:hAnsi="仿宋" w:hint="eastAsia"/>
          <w:kern w:val="0"/>
          <w:sz w:val="28"/>
          <w:szCs w:val="28"/>
        </w:rPr>
        <w:t>2. 论文写作能力</w:t>
      </w:r>
    </w:p>
    <w:p w14:paraId="608DF6AF" w14:textId="77777777" w:rsidR="00E259D3" w:rsidRPr="004A6398" w:rsidRDefault="00E259D3" w:rsidP="00E259D3">
      <w:pPr>
        <w:ind w:firstLineChars="152" w:firstLine="426"/>
        <w:rPr>
          <w:rFonts w:ascii="仿宋" w:eastAsia="仿宋" w:hAnsi="仿宋"/>
          <w:kern w:val="0"/>
          <w:sz w:val="28"/>
          <w:szCs w:val="28"/>
        </w:rPr>
      </w:pPr>
    </w:p>
    <w:p w14:paraId="413D7DB4" w14:textId="77777777" w:rsidR="00E259D3" w:rsidRPr="004A6398" w:rsidRDefault="00E259D3" w:rsidP="00E259D3">
      <w:pPr>
        <w:ind w:firstLineChars="152" w:firstLine="426"/>
        <w:rPr>
          <w:rFonts w:ascii="仿宋" w:eastAsia="仿宋" w:hAnsi="仿宋" w:cs="仿宋"/>
          <w:sz w:val="28"/>
          <w:szCs w:val="28"/>
        </w:rPr>
      </w:pPr>
      <w:r w:rsidRPr="004A6398">
        <w:rPr>
          <w:rFonts w:ascii="仿宋" w:eastAsia="仿宋" w:hAnsi="仿宋" w:cs="仿宋" w:hint="eastAsia"/>
          <w:sz w:val="28"/>
          <w:szCs w:val="28"/>
        </w:rPr>
        <w:t>四、主要参考书目</w:t>
      </w:r>
    </w:p>
    <w:p w14:paraId="6F0C2BF8" w14:textId="77777777" w:rsidR="00E259D3" w:rsidRPr="004A6398" w:rsidRDefault="00E259D3" w:rsidP="00E259D3">
      <w:pPr>
        <w:ind w:firstLineChars="152" w:firstLine="426"/>
        <w:rPr>
          <w:rFonts w:ascii="仿宋" w:eastAsia="仿宋" w:hAnsi="仿宋"/>
          <w:sz w:val="28"/>
          <w:szCs w:val="28"/>
        </w:rPr>
      </w:pPr>
      <w:r w:rsidRPr="004A6398">
        <w:rPr>
          <w:rFonts w:ascii="仿宋" w:eastAsia="仿宋" w:hAnsi="仿宋" w:hint="eastAsia"/>
          <w:sz w:val="28"/>
          <w:szCs w:val="28"/>
        </w:rPr>
        <w:t>1.赵金铭《对外汉语教学概论》，商务印书馆，2007年；</w:t>
      </w:r>
    </w:p>
    <w:p w14:paraId="40FFB12B" w14:textId="77777777" w:rsidR="00E259D3" w:rsidRPr="004A6398" w:rsidRDefault="00E259D3" w:rsidP="00E259D3">
      <w:pPr>
        <w:ind w:firstLineChars="152" w:firstLine="426"/>
        <w:rPr>
          <w:rFonts w:ascii="仿宋" w:eastAsia="仿宋" w:hAnsi="仿宋"/>
          <w:b/>
          <w:kern w:val="0"/>
          <w:sz w:val="28"/>
          <w:szCs w:val="28"/>
        </w:rPr>
      </w:pPr>
      <w:r w:rsidRPr="004A6398">
        <w:rPr>
          <w:rFonts w:ascii="仿宋" w:eastAsia="仿宋" w:hAnsi="仿宋" w:hint="eastAsia"/>
          <w:sz w:val="28"/>
          <w:szCs w:val="28"/>
        </w:rPr>
        <w:t>2.程裕祯《中国文化要略》，外语教学与研究出版社，2003年；</w:t>
      </w:r>
    </w:p>
    <w:p w14:paraId="2C3CA400" w14:textId="77777777" w:rsidR="00E259D3" w:rsidRPr="004A6398" w:rsidRDefault="00E259D3" w:rsidP="00E259D3">
      <w:pPr>
        <w:ind w:firstLineChars="152" w:firstLine="426"/>
        <w:rPr>
          <w:rFonts w:ascii="仿宋" w:eastAsia="仿宋" w:hAnsi="仿宋"/>
          <w:b/>
          <w:kern w:val="0"/>
          <w:sz w:val="28"/>
          <w:szCs w:val="28"/>
        </w:rPr>
      </w:pPr>
      <w:r w:rsidRPr="004A6398">
        <w:rPr>
          <w:rFonts w:ascii="仿宋" w:eastAsia="仿宋" w:hAnsi="仿宋" w:hint="eastAsia"/>
          <w:sz w:val="28"/>
          <w:szCs w:val="28"/>
        </w:rPr>
        <w:t>3.胡文仲《跨文化交际学概论》，外语教学与研究出版社，1999年；</w:t>
      </w:r>
    </w:p>
    <w:p w14:paraId="2D6C64A0" w14:textId="77777777" w:rsidR="00E259D3" w:rsidRPr="004A6398" w:rsidRDefault="00E259D3" w:rsidP="00E259D3">
      <w:pPr>
        <w:ind w:firstLineChars="152" w:firstLine="426"/>
        <w:rPr>
          <w:rFonts w:ascii="仿宋" w:eastAsia="仿宋" w:hAnsi="仿宋"/>
          <w:b/>
          <w:kern w:val="0"/>
          <w:sz w:val="28"/>
          <w:szCs w:val="28"/>
        </w:rPr>
      </w:pPr>
      <w:r w:rsidRPr="004A6398">
        <w:rPr>
          <w:rFonts w:ascii="仿宋" w:eastAsia="仿宋" w:hAnsi="仿宋" w:hint="eastAsia"/>
          <w:kern w:val="0"/>
          <w:sz w:val="28"/>
          <w:szCs w:val="28"/>
        </w:rPr>
        <w:t>4.</w:t>
      </w:r>
      <w:r w:rsidRPr="004A6398">
        <w:rPr>
          <w:rFonts w:ascii="仿宋" w:eastAsia="仿宋" w:hAnsi="仿宋"/>
          <w:kern w:val="0"/>
          <w:sz w:val="28"/>
          <w:szCs w:val="28"/>
        </w:rPr>
        <w:t>冯忠良、伍新春、姚梅林、王健敏著《教育心理学》,人民教育出版社2000年版</w:t>
      </w:r>
      <w:r w:rsidRPr="004A6398">
        <w:rPr>
          <w:rFonts w:ascii="仿宋" w:eastAsia="仿宋" w:hAnsi="仿宋" w:hint="eastAsia"/>
          <w:kern w:val="0"/>
          <w:sz w:val="28"/>
          <w:szCs w:val="28"/>
        </w:rPr>
        <w:t>。</w:t>
      </w:r>
    </w:p>
    <w:p w14:paraId="325D12B0" w14:textId="77777777" w:rsidR="00E259D3" w:rsidRPr="006841AC" w:rsidRDefault="00E259D3" w:rsidP="00E259D3">
      <w:pPr>
        <w:rPr>
          <w:rFonts w:ascii="仿宋" w:eastAsia="仿宋" w:hAnsi="仿宋" w:cs="仿宋"/>
          <w:sz w:val="28"/>
          <w:szCs w:val="28"/>
        </w:rPr>
      </w:pPr>
    </w:p>
    <w:p w14:paraId="37A2A522" w14:textId="77777777" w:rsidR="00E259D3" w:rsidRPr="006841AC" w:rsidRDefault="00E259D3" w:rsidP="00E259D3">
      <w:pPr>
        <w:spacing w:line="400" w:lineRule="exact"/>
        <w:ind w:firstLineChars="337" w:firstLine="708"/>
        <w:rPr>
          <w:kern w:val="0"/>
        </w:rPr>
      </w:pPr>
    </w:p>
    <w:p w14:paraId="2E06AF6B" w14:textId="77777777" w:rsidR="0037356C" w:rsidRPr="00E259D3" w:rsidRDefault="0037356C"/>
    <w:sectPr w:rsidR="0037356C" w:rsidRPr="00E259D3">
      <w:footerReference w:type="default" r:id="rId4"/>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7638F" w14:textId="77777777" w:rsidR="00E179F8" w:rsidRDefault="00936F92">
    <w:pPr>
      <w:pStyle w:val="a3"/>
    </w:pPr>
    <w:r>
      <w:rPr>
        <w:noProof/>
      </w:rPr>
      <mc:AlternateContent>
        <mc:Choice Requires="wps">
          <w:drawing>
            <wp:anchor distT="0" distB="0" distL="114300" distR="114300" simplePos="0" relativeHeight="251659264" behindDoc="0" locked="0" layoutInCell="1" allowOverlap="1" wp14:anchorId="53B5535F" wp14:editId="6E4C4CEF">
              <wp:simplePos x="0" y="0"/>
              <wp:positionH relativeFrom="margin">
                <wp:align>center</wp:align>
              </wp:positionH>
              <wp:positionV relativeFrom="paragraph">
                <wp:posOffset>0</wp:posOffset>
              </wp:positionV>
              <wp:extent cx="577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5CFDB" w14:textId="77777777" w:rsidR="00E179F8" w:rsidRDefault="00936F9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2</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3B5535F" id="_x0000_t202" coordsize="21600,21600" o:spt="202" path="m,l,21600r21600,l21600,xe">
              <v:stroke joinstyle="miter"/>
              <v:path gradientshapeok="t" o:connecttype="rect"/>
            </v:shapetype>
            <v:shape id="文本框 1" o:spid="_x0000_s1026" type="#_x0000_t202" style="position:absolute;margin-left:0;margin-top:0;width:4.5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SfS8wEAALMDAAAOAAAAZHJzL2Uyb0RvYy54bWysU82O0zAQviPxDpbvNM2yZVdR09WyqyKk&#10;5UdaeADHcRqL2GON3SblAeANOO2FO8/V52DsNGWBG+JiTcYzn7/55svyajAd2yn0GmzJ89mcM2Ul&#10;1NpuSv7xw/rZJWc+CFuLDqwq+V55frV6+mTZu0KdQQtdrZARiPVF70rehuCKLPOyVUb4GThl6bIB&#10;NCLQJ26yGkVP6KbLzubzF1kPWDsEqbyn7O14yVcJv2mUDO+axqvAupITt5BOTGcVz2y1FMUGhWu1&#10;PNIQ/8DCCG3p0RPUrQiCbVH/BWW0RPDQhJkEk0HTaKnSDDRNPv9jmvtWOJVmIXG8O8nk/x+sfLt7&#10;j0zXtDvOrDC0osO3r4eHH4fvX1ge5emdL6jq3lFdGF7CEEvjqN7dgfzkmYWbVtiNukaEvlWiJnqp&#10;M3vUOuL4CFL1b6Cmd8Q2QAIaGjQRkNRghE5r2p9Wo4bAJCUXFxeXC84k3eTP8/PzRaSWiWLqdejD&#10;KwWGxaDkSItP2GJ358NYOpXEpyysddel5Xf2twRhxkziHumOxMNQDUctKqj3NAXC6CXyPgUt4GfO&#10;evJRyS0ZnbPutSUdouWmAKegmgJhJTWWPHA2hjdhtObWod60hDspfU1arXUaJIo6cjiyJGckKY4u&#10;jtZ7/J2qfv1rq58AAAD//wMAUEsDBBQABgAIAAAAIQDy0f1T1wAAAAIBAAAPAAAAZHJzL2Rvd25y&#10;ZXYueG1sTI/BasMwEETvhf6D2EBujZwcktS1HEKgl96alkJvG2tjmUorIymO/fdRemkvC8MMM2+r&#10;3eisGCjEzrOC5aIAQdx43XGr4PPj9WkLIiZkjdYzKZgowq5+fKiw1P7K7zQcUytyCccSFZiU+lLK&#10;2BhyGBe+J87e2QeHKcvQSh3wmsudlauiWEuHHecFgz0dDDU/x4tTsBm/PPWRDvR9Hppgumlr3yal&#10;5rNx/wIi0Zj+wnDHz+hQZ6aTv7COwirIj6Tfm73nJYiTglWxAVlX8j96fQMAAP//AwBQSwECLQAU&#10;AAYACAAAACEAtoM4kv4AAADhAQAAEwAAAAAAAAAAAAAAAAAAAAAAW0NvbnRlbnRfVHlwZXNdLnht&#10;bFBLAQItABQABgAIAAAAIQA4/SH/1gAAAJQBAAALAAAAAAAAAAAAAAAAAC8BAABfcmVscy8ucmVs&#10;c1BLAQItABQABgAIAAAAIQB4rSfS8wEAALMDAAAOAAAAAAAAAAAAAAAAAC4CAABkcnMvZTJvRG9j&#10;LnhtbFBLAQItABQABgAIAAAAIQDy0f1T1wAAAAIBAAAPAAAAAAAAAAAAAAAAAE0EAABkcnMvZG93&#10;bnJldi54bWxQSwUGAAAAAAQABADzAAAAUQUAAAAA&#10;" filled="f" stroked="f">
              <v:textbox style="mso-fit-shape-to-text:t" inset="0,0,0,0">
                <w:txbxContent>
                  <w:p w14:paraId="75A5CFDB" w14:textId="77777777" w:rsidR="00E179F8" w:rsidRDefault="00936F92">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sz w:val="18"/>
                      </w:rPr>
                      <w:t>2</w:t>
                    </w:r>
                    <w:r>
                      <w:rPr>
                        <w:rFonts w:hint="eastAsia"/>
                        <w:sz w:val="18"/>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9D3"/>
    <w:rsid w:val="0037356C"/>
    <w:rsid w:val="00936F92"/>
    <w:rsid w:val="00E25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7534D"/>
  <w15:chartTrackingRefBased/>
  <w15:docId w15:val="{1AB50F30-795A-4079-993D-EC15E4972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59D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259D3"/>
    <w:pPr>
      <w:tabs>
        <w:tab w:val="center" w:pos="4153"/>
        <w:tab w:val="right" w:pos="8306"/>
      </w:tabs>
      <w:snapToGrid w:val="0"/>
      <w:jc w:val="left"/>
    </w:pPr>
    <w:rPr>
      <w:sz w:val="18"/>
      <w:szCs w:val="18"/>
    </w:rPr>
  </w:style>
  <w:style w:type="character" w:customStyle="1" w:styleId="a4">
    <w:name w:val="页脚 字符"/>
    <w:basedOn w:val="a0"/>
    <w:link w:val="a3"/>
    <w:rsid w:val="00E259D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外国语学院</dc:creator>
  <cp:keywords/>
  <dc:description/>
  <cp:lastModifiedBy>外国语学院</cp:lastModifiedBy>
  <cp:revision>1</cp:revision>
  <dcterms:created xsi:type="dcterms:W3CDTF">2020-08-26T11:55:00Z</dcterms:created>
  <dcterms:modified xsi:type="dcterms:W3CDTF">2020-08-26T13:48:00Z</dcterms:modified>
</cp:coreProperties>
</file>