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F5D9EE">
      <w:pPr>
        <w:keepNext w:val="0"/>
        <w:keepLines w:val="0"/>
        <w:pageBreakBefore w:val="0"/>
        <w:widowControl w:val="0"/>
        <w:kinsoku/>
        <w:wordWrap/>
        <w:overflowPunct/>
        <w:topLinePunct w:val="0"/>
        <w:autoSpaceDE/>
        <w:autoSpaceDN/>
        <w:bidi w:val="0"/>
        <w:adjustRightInd w:val="0"/>
        <w:snapToGrid w:val="0"/>
        <w:spacing w:line="372" w:lineRule="auto"/>
        <w:jc w:val="center"/>
        <w:textAlignment w:val="auto"/>
        <w:outlineLvl w:val="9"/>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海南师范大学2026年全国硕士研究生招生考试</w:t>
      </w:r>
    </w:p>
    <w:p w14:paraId="2CC520FB">
      <w:pPr>
        <w:keepNext w:val="0"/>
        <w:keepLines w:val="0"/>
        <w:pageBreakBefore w:val="0"/>
        <w:widowControl w:val="0"/>
        <w:kinsoku/>
        <w:wordWrap/>
        <w:overflowPunct/>
        <w:topLinePunct w:val="0"/>
        <w:autoSpaceDE/>
        <w:autoSpaceDN/>
        <w:bidi w:val="0"/>
        <w:adjustRightInd w:val="0"/>
        <w:snapToGrid w:val="0"/>
        <w:spacing w:line="372" w:lineRule="auto"/>
        <w:jc w:val="center"/>
        <w:textAlignment w:val="auto"/>
        <w:outlineLvl w:val="9"/>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pPr>
      <w:r>
        <w:rPr>
          <w:rFonts w:hint="eastAsia" w:ascii="方正小标宋_GBK" w:hAnsi="方正小标宋_GBK" w:eastAsia="方正小标宋_GBK" w:cs="方正小标宋_GBK"/>
          <w:b w:val="0"/>
          <w:bCs w:val="0"/>
          <w:color w:val="auto"/>
          <w:sz w:val="32"/>
          <w:szCs w:val="32"/>
          <w:lang w:val="en-US" w:eastAsia="zh-CN"/>
        </w:rPr>
        <w:t>复试笔试</w:t>
      </w:r>
      <w:r>
        <w:rPr>
          <w:rFonts w:hint="eastAsia" w:ascii="方正小标宋_GBK" w:hAnsi="方正小标宋_GBK" w:eastAsia="方正小标宋_GBK" w:cs="方正小标宋_GBK"/>
          <w:b w:val="0"/>
          <w:bCs w:val="0"/>
          <w:color w:val="auto"/>
          <w:sz w:val="32"/>
          <w:szCs w:val="32"/>
        </w:rPr>
        <w:t>科</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目考试大纲</w:t>
      </w:r>
    </w:p>
    <w:p w14:paraId="40E9F6D1">
      <w:pPr>
        <w:keepNext w:val="0"/>
        <w:keepLines w:val="0"/>
        <w:pageBreakBefore w:val="0"/>
        <w:widowControl w:val="0"/>
        <w:kinsoku/>
        <w:wordWrap/>
        <w:overflowPunct/>
        <w:topLinePunct w:val="0"/>
        <w:autoSpaceDE/>
        <w:autoSpaceDN/>
        <w:bidi w:val="0"/>
        <w:adjustRightInd w:val="0"/>
        <w:snapToGrid w:val="0"/>
        <w:spacing w:line="372" w:lineRule="auto"/>
        <w:jc w:val="center"/>
        <w:textAlignment w:val="auto"/>
        <w:outlineLvl w:val="9"/>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14:textFill>
            <w14:solidFill>
              <w14:schemeClr w14:val="tx1"/>
            </w14:solidFill>
          </w14:textFill>
        </w:rPr>
        <w:t>考试科目代码：[</w:t>
      </w:r>
      <w:r>
        <w:rPr>
          <w:rFonts w:hint="default" w:ascii="Times New Roman" w:hAnsi="Times New Roman" w:eastAsia="仿宋" w:cs="Times New Roman"/>
          <w:color w:val="000000" w:themeColor="text1"/>
          <w:sz w:val="28"/>
          <w:szCs w:val="28"/>
          <w:lang w:val="en-US" w:eastAsia="zh-CN"/>
          <w14:textFill>
            <w14:solidFill>
              <w14:schemeClr w14:val="tx1"/>
            </w14:solidFill>
          </w14:textFill>
        </w:rPr>
        <w:t xml:space="preserve"> </w:t>
      </w:r>
      <w:r>
        <w:rPr>
          <w:rFonts w:hint="eastAsia" w:eastAsia="仿宋" w:cs="Times New Roman"/>
          <w:color w:val="000000" w:themeColor="text1"/>
          <w:sz w:val="28"/>
          <w:szCs w:val="28"/>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8"/>
          <w:szCs w:val="28"/>
          <w14:textFill>
            <w14:solidFill>
              <w14:schemeClr w14:val="tx1"/>
            </w14:solidFill>
          </w14:textFill>
        </w:rPr>
        <w:t>]              考试科目名称：</w:t>
      </w:r>
      <w:r>
        <w:rPr>
          <w:rFonts w:hint="eastAsia" w:eastAsia="仿宋" w:cs="Times New Roman"/>
          <w:color w:val="000000" w:themeColor="text1"/>
          <w:sz w:val="28"/>
          <w:szCs w:val="28"/>
          <w:lang w:val="en-US" w:eastAsia="zh-CN"/>
          <w14:textFill>
            <w14:solidFill>
              <w14:schemeClr w14:val="tx1"/>
            </w14:solidFill>
          </w14:textFill>
        </w:rPr>
        <w:t>化工原理</w:t>
      </w:r>
    </w:p>
    <w:p w14:paraId="15010328">
      <w:pPr>
        <w:keepNext w:val="0"/>
        <w:keepLines w:val="0"/>
        <w:pageBreakBefore w:val="0"/>
        <w:widowControl w:val="0"/>
        <w:kinsoku/>
        <w:wordWrap/>
        <w:overflowPunct/>
        <w:topLinePunct w:val="0"/>
        <w:autoSpaceDE/>
        <w:autoSpaceDN/>
        <w:bidi w:val="0"/>
        <w:adjustRightInd w:val="0"/>
        <w:snapToGrid w:val="0"/>
        <w:spacing w:line="372" w:lineRule="auto"/>
        <w:textAlignment w:val="auto"/>
        <w:outlineLvl w:val="9"/>
        <w:rPr>
          <w:rFonts w:hint="default" w:ascii="Times New Roman" w:hAnsi="Times New Roman" w:eastAsia="仿宋" w:cs="Times New Roman"/>
          <w:sz w:val="28"/>
          <w:szCs w:val="28"/>
        </w:rPr>
      </w:pPr>
      <w:r>
        <w:rPr>
          <w:rFonts w:hint="default" w:ascii="Times New Roman" w:hAnsi="Times New Roman" w:cs="Times New Roman"/>
          <w:szCs w:val="21"/>
        </w:rPr>
        <w:t>﹡﹡﹡﹡﹡﹡﹡﹡﹡﹡﹡﹡﹡﹡﹡﹡﹡﹡﹡﹡﹡﹡﹡﹡﹡﹡﹡﹡﹡﹡﹡﹡﹡﹡﹡﹡﹡﹡﹡</w:t>
      </w:r>
    </w:p>
    <w:p w14:paraId="29F8A03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一、考试性质</w:t>
      </w:r>
    </w:p>
    <w:p w14:paraId="7D74844F">
      <w:pPr>
        <w:keepNext w:val="0"/>
        <w:keepLines w:val="0"/>
        <w:pageBreakBefore w:val="0"/>
        <w:widowControl w:val="0"/>
        <w:numPr>
          <w:ilvl w:val="0"/>
          <w:numId w:val="0"/>
        </w:numPr>
        <w:kinsoku/>
        <w:wordWrap/>
        <w:overflowPunct/>
        <w:topLinePunct w:val="0"/>
        <w:autoSpaceDE/>
        <w:autoSpaceDN/>
        <w:bidi w:val="0"/>
        <w:adjustRightInd w:val="0"/>
        <w:snapToGrid w:val="0"/>
        <w:spacing w:line="372" w:lineRule="auto"/>
        <w:ind w:firstLine="560" w:firstLineChars="200"/>
        <w:textAlignment w:val="auto"/>
        <w:outlineLvl w:val="9"/>
        <w:rPr>
          <w:rFonts w:hint="eastAsia" w:eastAsia="仿宋" w:cs="Times New Roman"/>
          <w:sz w:val="28"/>
          <w:szCs w:val="28"/>
          <w:lang w:val="en-US" w:eastAsia="zh-CN"/>
        </w:rPr>
      </w:pPr>
      <w:r>
        <w:rPr>
          <w:rFonts w:hint="eastAsia" w:eastAsia="仿宋" w:cs="Times New Roman"/>
          <w:sz w:val="28"/>
          <w:szCs w:val="28"/>
          <w:lang w:val="en-US" w:eastAsia="zh-CN"/>
        </w:rPr>
        <w:t>《化工原理》是材料与化工（专</w:t>
      </w:r>
      <w:bookmarkStart w:id="0" w:name="_GoBack"/>
      <w:bookmarkEnd w:id="0"/>
      <w:r>
        <w:rPr>
          <w:rFonts w:hint="eastAsia" w:eastAsia="仿宋" w:cs="Times New Roman"/>
          <w:sz w:val="28"/>
          <w:szCs w:val="28"/>
          <w:lang w:val="en-US" w:eastAsia="zh-CN"/>
        </w:rPr>
        <w:t>业型）硕士生的入学专业考试科目之一，主要考察考生对化工原理基础理论、核心概念与基本原理等基础知识的系统掌握程度，对流体流动、传热及传质等单元操作的原理、规律和设备特性的理解和掌握，以及综合运用化工原理知识分析与解决实际化工生产问题的能力。</w:t>
      </w:r>
    </w:p>
    <w:p w14:paraId="2E57A5AB">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二、评价目标</w:t>
      </w:r>
    </w:p>
    <w:p w14:paraId="7E20A779">
      <w:pPr>
        <w:keepNext w:val="0"/>
        <w:keepLines w:val="0"/>
        <w:pageBreakBefore w:val="0"/>
        <w:widowControl w:val="0"/>
        <w:numPr>
          <w:ilvl w:val="0"/>
          <w:numId w:val="0"/>
        </w:numPr>
        <w:kinsoku/>
        <w:wordWrap/>
        <w:overflowPunct/>
        <w:topLinePunct w:val="0"/>
        <w:autoSpaceDE/>
        <w:autoSpaceDN/>
        <w:bidi w:val="0"/>
        <w:adjustRightInd w:val="0"/>
        <w:snapToGrid w:val="0"/>
        <w:spacing w:line="372" w:lineRule="auto"/>
        <w:ind w:firstLine="560" w:firstLineChars="200"/>
        <w:textAlignment w:val="auto"/>
        <w:outlineLvl w:val="9"/>
        <w:rPr>
          <w:rFonts w:hint="default" w:eastAsia="仿宋" w:cs="Times New Roman"/>
          <w:sz w:val="28"/>
          <w:szCs w:val="28"/>
          <w:lang w:val="en-US" w:eastAsia="zh-CN"/>
        </w:rPr>
      </w:pPr>
      <w:r>
        <w:rPr>
          <w:rFonts w:hint="eastAsia" w:eastAsia="仿宋" w:cs="Times New Roman"/>
          <w:sz w:val="28"/>
          <w:szCs w:val="28"/>
          <w:lang w:val="en-US" w:eastAsia="zh-CN"/>
        </w:rPr>
        <w:t>全日制攻读硕士学位研究生入学复试考试化工原理科目考试内容包括</w:t>
      </w:r>
      <w:r>
        <w:rPr>
          <w:rFonts w:hint="default" w:ascii="Times New Roman" w:hAnsi="Times New Roman" w:eastAsia="仿宋" w:cs="Times New Roman"/>
          <w:sz w:val="28"/>
          <w:szCs w:val="28"/>
          <w:lang w:val="en-US" w:eastAsia="zh-CN"/>
        </w:rPr>
        <w:t>流体流动原理及应用</w:t>
      </w:r>
      <w:r>
        <w:rPr>
          <w:rFonts w:hint="eastAsia" w:eastAsia="仿宋" w:cs="Times New Roman"/>
          <w:sz w:val="28"/>
          <w:szCs w:val="28"/>
          <w:lang w:val="en-US" w:eastAsia="zh-CN"/>
        </w:rPr>
        <w:t>、</w:t>
      </w:r>
      <w:r>
        <w:rPr>
          <w:rFonts w:hint="default" w:ascii="Times New Roman" w:hAnsi="Times New Roman" w:eastAsia="仿宋" w:cs="Times New Roman"/>
          <w:sz w:val="28"/>
          <w:szCs w:val="28"/>
          <w:lang w:val="en-US" w:eastAsia="zh-CN"/>
        </w:rPr>
        <w:t>传热及热传设备</w:t>
      </w:r>
      <w:r>
        <w:rPr>
          <w:rFonts w:hint="eastAsia" w:eastAsia="仿宋" w:cs="Times New Roman"/>
          <w:sz w:val="28"/>
          <w:szCs w:val="28"/>
          <w:lang w:val="en-US" w:eastAsia="zh-CN"/>
        </w:rPr>
        <w:t>，</w:t>
      </w:r>
      <w:r>
        <w:rPr>
          <w:rFonts w:hint="default" w:ascii="Times New Roman" w:hAnsi="Times New Roman" w:eastAsia="仿宋" w:cs="Times New Roman"/>
          <w:sz w:val="28"/>
          <w:szCs w:val="28"/>
          <w:lang w:val="en-US" w:eastAsia="zh-CN"/>
        </w:rPr>
        <w:t>传质原理及应用</w:t>
      </w:r>
      <w:r>
        <w:rPr>
          <w:rFonts w:hint="eastAsia" w:eastAsia="仿宋" w:cs="Times New Roman"/>
          <w:sz w:val="28"/>
          <w:szCs w:val="28"/>
          <w:lang w:val="en-US" w:eastAsia="zh-CN"/>
        </w:rPr>
        <w:t>等相关问题。</w:t>
      </w:r>
    </w:p>
    <w:p w14:paraId="28275A06">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三、考试范围</w:t>
      </w:r>
    </w:p>
    <w:p w14:paraId="32001C06">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lang w:val="en-US" w:eastAsia="zh-CN"/>
        </w:rPr>
      </w:pPr>
      <w:r>
        <w:rPr>
          <w:rFonts w:hint="eastAsia" w:eastAsia="仿宋" w:cs="Times New Roman"/>
          <w:sz w:val="28"/>
          <w:szCs w:val="28"/>
          <w:lang w:val="en-US" w:eastAsia="zh-CN"/>
        </w:rPr>
        <w:t>（一）</w:t>
      </w:r>
      <w:r>
        <w:rPr>
          <w:rFonts w:hint="default" w:ascii="Times New Roman" w:hAnsi="Times New Roman" w:eastAsia="仿宋" w:cs="Times New Roman"/>
          <w:sz w:val="28"/>
          <w:szCs w:val="28"/>
          <w:lang w:val="en-US" w:eastAsia="zh-CN"/>
        </w:rPr>
        <w:t>绪论</w:t>
      </w:r>
      <w:r>
        <w:rPr>
          <w:rFonts w:hint="eastAsia" w:eastAsia="仿宋" w:cs="Times New Roman"/>
          <w:sz w:val="28"/>
          <w:szCs w:val="28"/>
          <w:lang w:val="en-US" w:eastAsia="zh-CN"/>
        </w:rPr>
        <w:t>：</w:t>
      </w:r>
      <w:r>
        <w:rPr>
          <w:rFonts w:hint="default" w:ascii="Times New Roman" w:hAnsi="Times New Roman" w:eastAsia="仿宋" w:cs="Times New Roman"/>
          <w:sz w:val="28"/>
          <w:szCs w:val="28"/>
          <w:lang w:val="en-US" w:eastAsia="zh-CN"/>
        </w:rPr>
        <w:t>单元操作的物料衡算和热量衡算及工程观点的建立。</w:t>
      </w:r>
    </w:p>
    <w:p w14:paraId="5DDBEB21">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lang w:val="en-US" w:eastAsia="zh-CN"/>
        </w:rPr>
      </w:pPr>
      <w:r>
        <w:rPr>
          <w:rFonts w:hint="eastAsia" w:eastAsia="仿宋" w:cs="Times New Roman"/>
          <w:sz w:val="28"/>
          <w:szCs w:val="28"/>
          <w:lang w:val="en-US" w:eastAsia="zh-CN"/>
        </w:rPr>
        <w:t>（二）</w:t>
      </w:r>
      <w:r>
        <w:rPr>
          <w:rFonts w:hint="default" w:ascii="Times New Roman" w:hAnsi="Times New Roman" w:eastAsia="仿宋" w:cs="Times New Roman"/>
          <w:sz w:val="28"/>
          <w:szCs w:val="28"/>
          <w:lang w:val="en-US" w:eastAsia="zh-CN"/>
        </w:rPr>
        <w:t>流体流动原理及应用</w:t>
      </w:r>
      <w:r>
        <w:rPr>
          <w:rFonts w:hint="eastAsia" w:eastAsia="仿宋" w:cs="Times New Roman"/>
          <w:sz w:val="28"/>
          <w:szCs w:val="28"/>
          <w:lang w:val="en-US" w:eastAsia="zh-CN"/>
        </w:rPr>
        <w:t>：</w:t>
      </w:r>
      <w:r>
        <w:rPr>
          <w:rFonts w:hint="default" w:eastAsia="仿宋" w:cs="Times New Roman"/>
          <w:sz w:val="28"/>
          <w:szCs w:val="28"/>
          <w:lang w:val="en-US" w:eastAsia="zh-CN"/>
        </w:rPr>
        <w:t>流体流动现象与流动类型；</w:t>
      </w:r>
      <w:r>
        <w:rPr>
          <w:rFonts w:hint="default" w:ascii="Times New Roman" w:hAnsi="Times New Roman" w:eastAsia="仿宋" w:cs="Times New Roman"/>
          <w:sz w:val="28"/>
          <w:szCs w:val="28"/>
          <w:lang w:val="en-US" w:eastAsia="zh-CN"/>
        </w:rPr>
        <w:t>流体静力学基本方程及其应用；牛顿粘性定律；流体流动连续性方程和机械能衡算方程；管路计算</w:t>
      </w:r>
      <w:r>
        <w:rPr>
          <w:rFonts w:hint="eastAsia" w:eastAsia="仿宋" w:cs="Times New Roman"/>
          <w:sz w:val="28"/>
          <w:szCs w:val="28"/>
          <w:lang w:val="en-US" w:eastAsia="zh-CN"/>
        </w:rPr>
        <w:t>；流量测量；</w:t>
      </w:r>
      <w:r>
        <w:rPr>
          <w:rFonts w:hint="default" w:ascii="Times New Roman" w:hAnsi="Times New Roman" w:eastAsia="仿宋" w:cs="Times New Roman"/>
          <w:sz w:val="28"/>
          <w:szCs w:val="28"/>
          <w:lang w:val="en-US" w:eastAsia="zh-CN"/>
        </w:rPr>
        <w:t>离心泵</w:t>
      </w:r>
      <w:r>
        <w:rPr>
          <w:rFonts w:hint="eastAsia" w:eastAsia="仿宋" w:cs="Times New Roman"/>
          <w:sz w:val="28"/>
          <w:szCs w:val="28"/>
          <w:lang w:val="en-US" w:eastAsia="zh-CN"/>
        </w:rPr>
        <w:t>的结构及工作</w:t>
      </w:r>
      <w:r>
        <w:rPr>
          <w:rFonts w:hint="default" w:ascii="Times New Roman" w:hAnsi="Times New Roman" w:eastAsia="仿宋" w:cs="Times New Roman"/>
          <w:sz w:val="28"/>
          <w:szCs w:val="28"/>
          <w:lang w:val="en-US" w:eastAsia="zh-CN"/>
        </w:rPr>
        <w:t>原理；离心泵的工作点和流量调节；离心泵安装高度的确定；离心泵的选用</w:t>
      </w:r>
      <w:r>
        <w:rPr>
          <w:rFonts w:hint="eastAsia" w:eastAsia="仿宋" w:cs="Times New Roman"/>
          <w:sz w:val="28"/>
          <w:szCs w:val="28"/>
          <w:lang w:val="en-US" w:eastAsia="zh-CN"/>
        </w:rPr>
        <w:t>；</w:t>
      </w:r>
      <w:r>
        <w:rPr>
          <w:rFonts w:hint="default" w:ascii="Times New Roman" w:hAnsi="Times New Roman" w:eastAsia="仿宋" w:cs="Times New Roman"/>
          <w:sz w:val="28"/>
          <w:szCs w:val="28"/>
          <w:lang w:val="en-US" w:eastAsia="zh-CN"/>
        </w:rPr>
        <w:t>管内流动的阻力损失的计算；管路计算。离心泵特性参数和特性曲线；管路特性曲线。</w:t>
      </w:r>
    </w:p>
    <w:p w14:paraId="72E5161B">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lang w:val="en-US" w:eastAsia="zh-CN"/>
        </w:rPr>
      </w:pPr>
      <w:r>
        <w:rPr>
          <w:rFonts w:hint="eastAsia" w:eastAsia="仿宋" w:cs="Times New Roman"/>
          <w:sz w:val="28"/>
          <w:szCs w:val="28"/>
          <w:lang w:val="en-US" w:eastAsia="zh-CN"/>
        </w:rPr>
        <w:t>（三）</w:t>
      </w:r>
      <w:r>
        <w:rPr>
          <w:rFonts w:hint="default" w:ascii="Times New Roman" w:hAnsi="Times New Roman" w:eastAsia="仿宋" w:cs="Times New Roman"/>
          <w:sz w:val="28"/>
          <w:szCs w:val="28"/>
          <w:lang w:val="en-US" w:eastAsia="zh-CN"/>
        </w:rPr>
        <w:t>传热及热传设备</w:t>
      </w:r>
      <w:r>
        <w:rPr>
          <w:rFonts w:hint="eastAsia" w:eastAsia="仿宋" w:cs="Times New Roman"/>
          <w:sz w:val="28"/>
          <w:szCs w:val="28"/>
          <w:lang w:val="en-US" w:eastAsia="zh-CN"/>
        </w:rPr>
        <w:t>：</w:t>
      </w:r>
      <w:r>
        <w:rPr>
          <w:rFonts w:hint="default" w:ascii="Times New Roman" w:hAnsi="Times New Roman" w:eastAsia="仿宋" w:cs="Times New Roman"/>
          <w:sz w:val="28"/>
          <w:szCs w:val="28"/>
          <w:lang w:val="en-US" w:eastAsia="zh-CN"/>
        </w:rPr>
        <w:t>傅立叶定律及其应用；传热方程和传热系数；牛顿冷却定律；对流传热膜系数及其影响因素和半经验公式；传热效率和传热单元数法</w:t>
      </w:r>
      <w:r>
        <w:rPr>
          <w:rFonts w:hint="eastAsia" w:eastAsia="仿宋" w:cs="Times New Roman"/>
          <w:sz w:val="28"/>
          <w:szCs w:val="28"/>
          <w:lang w:val="en-US" w:eastAsia="zh-CN"/>
        </w:rPr>
        <w:t>；</w:t>
      </w:r>
      <w:r>
        <w:rPr>
          <w:rFonts w:hint="default" w:ascii="Times New Roman" w:hAnsi="Times New Roman" w:eastAsia="仿宋" w:cs="Times New Roman"/>
          <w:sz w:val="28"/>
          <w:szCs w:val="28"/>
          <w:lang w:val="en-US" w:eastAsia="zh-CN"/>
        </w:rPr>
        <w:t>传热过程计算</w:t>
      </w:r>
      <w:r>
        <w:rPr>
          <w:rFonts w:hint="eastAsia" w:eastAsia="仿宋" w:cs="Times New Roman"/>
          <w:sz w:val="28"/>
          <w:szCs w:val="28"/>
          <w:lang w:val="en-US" w:eastAsia="zh-CN"/>
        </w:rPr>
        <w:t>；热辐射</w:t>
      </w:r>
      <w:r>
        <w:rPr>
          <w:rFonts w:hint="default" w:ascii="Times New Roman" w:hAnsi="Times New Roman" w:eastAsia="仿宋" w:cs="Times New Roman"/>
          <w:sz w:val="28"/>
          <w:szCs w:val="28"/>
          <w:lang w:val="en-US" w:eastAsia="zh-CN"/>
        </w:rPr>
        <w:t>。</w:t>
      </w:r>
    </w:p>
    <w:p w14:paraId="2F829151">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lang w:val="en-US" w:eastAsia="zh-CN"/>
        </w:rPr>
      </w:pPr>
      <w:r>
        <w:rPr>
          <w:rFonts w:hint="eastAsia" w:eastAsia="仿宋" w:cs="Times New Roman"/>
          <w:sz w:val="28"/>
          <w:szCs w:val="28"/>
          <w:lang w:val="en-US" w:eastAsia="zh-CN"/>
        </w:rPr>
        <w:t>（四）</w:t>
      </w:r>
      <w:r>
        <w:rPr>
          <w:rFonts w:hint="default" w:ascii="Times New Roman" w:hAnsi="Times New Roman" w:eastAsia="仿宋" w:cs="Times New Roman"/>
          <w:sz w:val="28"/>
          <w:szCs w:val="28"/>
          <w:lang w:val="en-US" w:eastAsia="zh-CN"/>
        </w:rPr>
        <w:t xml:space="preserve"> 传质原理及应用</w:t>
      </w:r>
      <w:r>
        <w:rPr>
          <w:rFonts w:hint="eastAsia" w:eastAsia="仿宋" w:cs="Times New Roman"/>
          <w:sz w:val="28"/>
          <w:szCs w:val="28"/>
          <w:lang w:val="en-US" w:eastAsia="zh-CN"/>
        </w:rPr>
        <w:t>：</w:t>
      </w:r>
      <w:r>
        <w:rPr>
          <w:rFonts w:hint="default" w:ascii="Times New Roman" w:hAnsi="Times New Roman" w:eastAsia="仿宋" w:cs="Times New Roman"/>
          <w:sz w:val="28"/>
          <w:szCs w:val="28"/>
          <w:lang w:val="en-US" w:eastAsia="zh-CN"/>
        </w:rPr>
        <w:t>双组分混合物的汽液平衡；精馏原理；物料衡算和操作线</w:t>
      </w:r>
      <w:r>
        <w:rPr>
          <w:rFonts w:hint="eastAsia" w:eastAsia="仿宋" w:cs="Times New Roman"/>
          <w:sz w:val="28"/>
          <w:szCs w:val="28"/>
          <w:lang w:val="en-US" w:eastAsia="zh-CN"/>
        </w:rPr>
        <w:t>方程</w:t>
      </w:r>
      <w:r>
        <w:rPr>
          <w:rFonts w:hint="default" w:ascii="Times New Roman" w:hAnsi="Times New Roman" w:eastAsia="仿宋" w:cs="Times New Roman"/>
          <w:sz w:val="28"/>
          <w:szCs w:val="28"/>
          <w:lang w:val="en-US" w:eastAsia="zh-CN"/>
        </w:rPr>
        <w:t>；图解法；逐板法</w:t>
      </w:r>
      <w:r>
        <w:rPr>
          <w:rFonts w:hint="eastAsia" w:eastAsia="仿宋" w:cs="Times New Roman"/>
          <w:sz w:val="28"/>
          <w:szCs w:val="28"/>
          <w:lang w:val="en-US" w:eastAsia="zh-CN"/>
        </w:rPr>
        <w:t>；吸收与解吸原理；</w:t>
      </w:r>
      <w:r>
        <w:rPr>
          <w:rFonts w:hint="default" w:ascii="Times New Roman" w:hAnsi="Times New Roman" w:eastAsia="仿宋" w:cs="Times New Roman"/>
          <w:sz w:val="28"/>
          <w:szCs w:val="28"/>
          <w:lang w:val="en-US" w:eastAsia="zh-CN"/>
        </w:rPr>
        <w:t>吸收速率方程；吸收塔物料衡算和操作线</w:t>
      </w:r>
      <w:r>
        <w:rPr>
          <w:rFonts w:hint="eastAsia" w:eastAsia="仿宋" w:cs="Times New Roman"/>
          <w:sz w:val="28"/>
          <w:szCs w:val="28"/>
          <w:lang w:val="en-US" w:eastAsia="zh-CN"/>
        </w:rPr>
        <w:t>方程</w:t>
      </w:r>
      <w:r>
        <w:rPr>
          <w:rFonts w:hint="default" w:ascii="Times New Roman" w:hAnsi="Times New Roman" w:eastAsia="仿宋" w:cs="Times New Roman"/>
          <w:sz w:val="28"/>
          <w:szCs w:val="28"/>
          <w:lang w:val="en-US" w:eastAsia="zh-CN"/>
        </w:rPr>
        <w:t>；低浓度气体吸收塔填料层高度计算</w:t>
      </w:r>
      <w:r>
        <w:rPr>
          <w:rFonts w:hint="eastAsia" w:eastAsia="仿宋" w:cs="Times New Roman"/>
          <w:sz w:val="28"/>
          <w:szCs w:val="28"/>
          <w:lang w:val="en-US" w:eastAsia="zh-CN"/>
        </w:rPr>
        <w:t>；</w:t>
      </w:r>
      <w:r>
        <w:rPr>
          <w:rFonts w:hint="default" w:ascii="Times New Roman" w:hAnsi="Times New Roman" w:eastAsia="仿宋" w:cs="Times New Roman"/>
          <w:sz w:val="28"/>
          <w:szCs w:val="28"/>
          <w:lang w:val="en-US" w:eastAsia="zh-CN"/>
        </w:rPr>
        <w:t>回流比、进料状况和q线方程；热量衡算回流比的影响和选择。吸收塔填料层高度计算；吸收操作参数变化定性分析。</w:t>
      </w:r>
    </w:p>
    <w:p w14:paraId="72E18465">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四、考试形式和试卷结构</w:t>
      </w:r>
    </w:p>
    <w:p w14:paraId="7CB5319A">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lang w:eastAsia="zh-CN"/>
        </w:rPr>
        <w:t>（一）</w:t>
      </w:r>
      <w:r>
        <w:rPr>
          <w:rFonts w:hint="default" w:ascii="Times New Roman" w:hAnsi="Times New Roman" w:eastAsia="仿宋" w:cs="Times New Roman"/>
          <w:sz w:val="28"/>
          <w:szCs w:val="28"/>
        </w:rPr>
        <w:t>试卷成绩及考试时间</w:t>
      </w:r>
    </w:p>
    <w:p w14:paraId="35E860A8">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本试卷满分为1</w:t>
      </w:r>
      <w:r>
        <w:rPr>
          <w:rFonts w:hint="default" w:ascii="Times New Roman" w:hAnsi="Times New Roman" w:eastAsia="仿宋" w:cs="Times New Roman"/>
          <w:sz w:val="28"/>
          <w:szCs w:val="28"/>
          <w:lang w:val="en-US" w:eastAsia="zh-CN"/>
        </w:rPr>
        <w:t>0</w:t>
      </w:r>
      <w:r>
        <w:rPr>
          <w:rFonts w:hint="default" w:ascii="Times New Roman" w:hAnsi="Times New Roman" w:eastAsia="仿宋" w:cs="Times New Roman"/>
          <w:sz w:val="28"/>
          <w:szCs w:val="28"/>
        </w:rPr>
        <w:t>0分，考试时间为1</w:t>
      </w:r>
      <w:r>
        <w:rPr>
          <w:rFonts w:hint="default" w:ascii="Times New Roman" w:hAnsi="Times New Roman" w:eastAsia="仿宋" w:cs="Times New Roman"/>
          <w:sz w:val="28"/>
          <w:szCs w:val="28"/>
          <w:lang w:val="en-US" w:eastAsia="zh-CN"/>
        </w:rPr>
        <w:t>2</w:t>
      </w:r>
      <w:r>
        <w:rPr>
          <w:rFonts w:hint="default" w:ascii="Times New Roman" w:hAnsi="Times New Roman" w:eastAsia="仿宋" w:cs="Times New Roman"/>
          <w:sz w:val="28"/>
          <w:szCs w:val="28"/>
        </w:rPr>
        <w:t>0分钟。</w:t>
      </w:r>
    </w:p>
    <w:p w14:paraId="4AB61448">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lang w:eastAsia="zh-CN"/>
        </w:rPr>
        <w:t>（二）</w:t>
      </w:r>
      <w:r>
        <w:rPr>
          <w:rFonts w:hint="default" w:ascii="Times New Roman" w:hAnsi="Times New Roman" w:eastAsia="仿宋" w:cs="Times New Roman"/>
          <w:sz w:val="28"/>
          <w:szCs w:val="28"/>
        </w:rPr>
        <w:t>答题方式</w:t>
      </w:r>
    </w:p>
    <w:p w14:paraId="7FD50DDB">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答题方式为闭卷、笔试。</w:t>
      </w:r>
    </w:p>
    <w:p w14:paraId="1C939BB0">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eastAsia="zh-CN"/>
        </w:rPr>
        <w:t>（三）试卷结构</w:t>
      </w:r>
    </w:p>
    <w:p w14:paraId="157EC4E0">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highlight w:val="none"/>
          <w:lang w:val="en-US" w:eastAsia="zh-CN"/>
        </w:rPr>
      </w:pPr>
      <w:r>
        <w:rPr>
          <w:rFonts w:hint="eastAsia" w:eastAsia="仿宋" w:cs="Times New Roman"/>
          <w:sz w:val="28"/>
          <w:szCs w:val="28"/>
          <w:highlight w:val="none"/>
          <w:lang w:val="en-US" w:eastAsia="zh-CN"/>
        </w:rPr>
        <w:t>选择、判断、</w:t>
      </w:r>
      <w:r>
        <w:rPr>
          <w:rFonts w:hint="default" w:ascii="Times New Roman" w:hAnsi="Times New Roman" w:eastAsia="仿宋" w:cs="Times New Roman"/>
          <w:sz w:val="28"/>
          <w:szCs w:val="28"/>
          <w:highlight w:val="none"/>
        </w:rPr>
        <w:t>简答题</w:t>
      </w:r>
      <w:r>
        <w:rPr>
          <w:rFonts w:hint="eastAsia" w:eastAsia="仿宋" w:cs="Times New Roman"/>
          <w:sz w:val="28"/>
          <w:szCs w:val="28"/>
          <w:highlight w:val="none"/>
          <w:lang w:val="en-US" w:eastAsia="zh-CN"/>
        </w:rPr>
        <w:t>、计算题</w:t>
      </w:r>
      <w:r>
        <w:rPr>
          <w:rFonts w:hint="eastAsia" w:ascii="Times New Roman" w:hAnsi="Times New Roman" w:eastAsia="仿宋" w:cs="Times New Roman"/>
          <w:sz w:val="28"/>
          <w:szCs w:val="28"/>
          <w:highlight w:val="none"/>
          <w:lang w:eastAsia="zh-CN"/>
        </w:rPr>
        <w:t>。</w:t>
      </w:r>
    </w:p>
    <w:p w14:paraId="2BC3E2C0">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、主要参考书</w:t>
      </w:r>
      <w:r>
        <w:rPr>
          <w:rFonts w:hint="eastAsia" w:ascii="宋体" w:hAnsi="宋体" w:eastAsia="宋体" w:cs="宋体"/>
          <w:b/>
          <w:bCs/>
          <w:sz w:val="28"/>
          <w:szCs w:val="28"/>
          <w:lang w:eastAsia="zh-CN"/>
        </w:rPr>
        <w:t>目</w:t>
      </w:r>
    </w:p>
    <w:p w14:paraId="256E8E65">
      <w:pPr>
        <w:keepNext w:val="0"/>
        <w:keepLines w:val="0"/>
        <w:pageBreakBefore w:val="0"/>
        <w:widowControl w:val="0"/>
        <w:numPr>
          <w:ilvl w:val="0"/>
          <w:numId w:val="0"/>
        </w:numPr>
        <w:kinsoku/>
        <w:wordWrap/>
        <w:overflowPunct/>
        <w:topLinePunct w:val="0"/>
        <w:autoSpaceDE/>
        <w:autoSpaceDN/>
        <w:bidi w:val="0"/>
        <w:adjustRightInd w:val="0"/>
        <w:snapToGrid w:val="0"/>
        <w:spacing w:line="372" w:lineRule="auto"/>
        <w:ind w:firstLine="560" w:firstLineChars="200"/>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1.王晓红等.化工原理.化学工业出版社.20</w:t>
      </w:r>
      <w:r>
        <w:rPr>
          <w:rFonts w:hint="eastAsia" w:ascii="仿宋" w:hAnsi="仿宋" w:eastAsia="仿宋" w:cs="仿宋"/>
          <w:sz w:val="28"/>
          <w:szCs w:val="28"/>
          <w:lang w:val="en-US" w:eastAsia="zh-CN"/>
        </w:rPr>
        <w:t>1</w:t>
      </w:r>
      <w:r>
        <w:rPr>
          <w:rFonts w:hint="default" w:ascii="仿宋" w:hAnsi="仿宋" w:eastAsia="仿宋" w:cs="仿宋"/>
          <w:sz w:val="28"/>
          <w:szCs w:val="28"/>
          <w:lang w:val="en-US" w:eastAsia="zh-CN"/>
        </w:rPr>
        <w:t xml:space="preserve">9年 </w:t>
      </w:r>
    </w:p>
    <w:p w14:paraId="50328E26">
      <w:pPr>
        <w:keepNext w:val="0"/>
        <w:keepLines w:val="0"/>
        <w:pageBreakBefore w:val="0"/>
        <w:widowControl w:val="0"/>
        <w:kinsoku/>
        <w:wordWrap/>
        <w:overflowPunct/>
        <w:topLinePunct w:val="0"/>
        <w:autoSpaceDE/>
        <w:autoSpaceDN/>
        <w:bidi w:val="0"/>
        <w:adjustRightInd w:val="0"/>
        <w:snapToGrid w:val="0"/>
        <w:spacing w:line="372" w:lineRule="auto"/>
        <w:ind w:firstLine="560" w:firstLineChars="200"/>
        <w:textAlignment w:val="auto"/>
        <w:outlineLvl w:val="9"/>
        <w:rPr>
          <w:rFonts w:hint="default" w:ascii="Times New Roman" w:hAnsi="Times New Roman" w:eastAsia="仿宋" w:cs="Times New Roman"/>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lMjM1MGViOWFkYjhhMjlhY2FiNTMyNzc0MWEwNmMifQ=="/>
    <w:docVar w:name="KSO_WPS_MARK_KEY" w:val="21b27915-ed78-42c7-960b-637cbabcba93"/>
  </w:docVars>
  <w:rsids>
    <w:rsidRoot w:val="000618D6"/>
    <w:rsid w:val="000004FA"/>
    <w:rsid w:val="000618D6"/>
    <w:rsid w:val="000706BA"/>
    <w:rsid w:val="00270FE2"/>
    <w:rsid w:val="00311A5F"/>
    <w:rsid w:val="00330E58"/>
    <w:rsid w:val="0037423B"/>
    <w:rsid w:val="00585AE4"/>
    <w:rsid w:val="00637B77"/>
    <w:rsid w:val="007E44BE"/>
    <w:rsid w:val="008A7612"/>
    <w:rsid w:val="009418E3"/>
    <w:rsid w:val="009764CF"/>
    <w:rsid w:val="009E5A96"/>
    <w:rsid w:val="00A17AA7"/>
    <w:rsid w:val="07181DEC"/>
    <w:rsid w:val="0BB5684F"/>
    <w:rsid w:val="0CB37B4D"/>
    <w:rsid w:val="0D1D0569"/>
    <w:rsid w:val="11136781"/>
    <w:rsid w:val="1160689C"/>
    <w:rsid w:val="14230AF2"/>
    <w:rsid w:val="153F4FD4"/>
    <w:rsid w:val="15702C4E"/>
    <w:rsid w:val="164672EC"/>
    <w:rsid w:val="17C13738"/>
    <w:rsid w:val="1ACC6222"/>
    <w:rsid w:val="1D265AB4"/>
    <w:rsid w:val="236C290F"/>
    <w:rsid w:val="250D6FE0"/>
    <w:rsid w:val="29EA3D23"/>
    <w:rsid w:val="2A480A58"/>
    <w:rsid w:val="2CAF6975"/>
    <w:rsid w:val="2F4866DD"/>
    <w:rsid w:val="385D1A40"/>
    <w:rsid w:val="3BB62604"/>
    <w:rsid w:val="3CB947B6"/>
    <w:rsid w:val="3E173A67"/>
    <w:rsid w:val="422C70A3"/>
    <w:rsid w:val="47C84A67"/>
    <w:rsid w:val="47FB2286"/>
    <w:rsid w:val="48087D94"/>
    <w:rsid w:val="4A893E18"/>
    <w:rsid w:val="4D122BF3"/>
    <w:rsid w:val="4FF031B6"/>
    <w:rsid w:val="51D9501D"/>
    <w:rsid w:val="534636B4"/>
    <w:rsid w:val="55BC2408"/>
    <w:rsid w:val="55C77859"/>
    <w:rsid w:val="586D7F92"/>
    <w:rsid w:val="5D911BB9"/>
    <w:rsid w:val="5E64359A"/>
    <w:rsid w:val="654F648B"/>
    <w:rsid w:val="660C30C8"/>
    <w:rsid w:val="702F1AEC"/>
    <w:rsid w:val="72753BCA"/>
    <w:rsid w:val="73F52E35"/>
    <w:rsid w:val="75540D5E"/>
    <w:rsid w:val="755E3979"/>
    <w:rsid w:val="77EA0F8E"/>
    <w:rsid w:val="799B4E58"/>
    <w:rsid w:val="79B7130D"/>
    <w:rsid w:val="7B523CB1"/>
    <w:rsid w:val="7CAA412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line="480" w:lineRule="atLeast"/>
      <w:ind w:firstLine="559" w:firstLineChars="266"/>
    </w:pPr>
    <w:rPr>
      <w:rFonts w:ascii="宋体" w:hAnsi="宋体"/>
      <w:sz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817</Words>
  <Characters>829</Characters>
  <Lines>11</Lines>
  <Paragraphs>3</Paragraphs>
  <TotalTime>2</TotalTime>
  <ScaleCrop>false</ScaleCrop>
  <LinksUpToDate>false</LinksUpToDate>
  <CharactersWithSpaces>851</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chen</cp:lastModifiedBy>
  <dcterms:modified xsi:type="dcterms:W3CDTF">2025-10-04T01:15:01Z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8C4818D5625E465D8AA67A3F3D12E46F_13</vt:lpwstr>
  </property>
  <property fmtid="{D5CDD505-2E9C-101B-9397-08002B2CF9AE}" pid="4" name="KSOTemplateDocerSaveRecord">
    <vt:lpwstr>eyJoZGlkIjoiYWM1ZTllZDZiMTNkMjkxZTBmODNjMWQ1ZjRjNTZlOTEiLCJ1c2VySWQiOiIyMDk2MDEwNzkifQ==</vt:lpwstr>
  </property>
</Properties>
</file>