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15303E">
      <w:pPr>
        <w:spacing w:line="360" w:lineRule="auto"/>
        <w:jc w:val="cente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pPr>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海</w:t>
      </w: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南师范大学</w:t>
      </w: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2026年</w:t>
      </w:r>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全国</w:t>
      </w: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硕士研究生</w:t>
      </w:r>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招生</w:t>
      </w: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考试</w:t>
      </w:r>
    </w:p>
    <w:p w14:paraId="4AFF35EB">
      <w:pPr>
        <w:spacing w:line="360" w:lineRule="auto"/>
        <w:jc w:val="center"/>
        <w:rPr>
          <w:rFonts w:hint="eastAsia" w:ascii="宋体" w:hAnsi="宋体" w:cs="宋体"/>
          <w:b/>
          <w:bCs/>
          <w:color w:val="FF0000"/>
          <w:sz w:val="32"/>
          <w:szCs w:val="32"/>
          <w:lang w:val="en-US" w:eastAsia="zh-CN"/>
        </w:rPr>
      </w:pP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初试</w:t>
      </w: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自命题</w:t>
      </w: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科目</w:t>
      </w: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考试大纲</w:t>
      </w:r>
      <w:r>
        <w:rPr>
          <w:rFonts w:hint="eastAsia" w:ascii="宋体" w:hAnsi="宋体" w:cs="宋体"/>
          <w:b/>
          <w:bCs/>
          <w:color w:val="FF0000"/>
          <w:sz w:val="32"/>
          <w:szCs w:val="32"/>
          <w:lang w:val="en-US" w:eastAsia="zh-CN"/>
        </w:rPr>
        <w:t xml:space="preserve"> </w:t>
      </w:r>
    </w:p>
    <w:p w14:paraId="5F79D6FC">
      <w:pPr>
        <w:spacing w:line="360" w:lineRule="auto"/>
        <w:jc w:val="center"/>
        <w:rPr>
          <w:rFonts w:hint="eastAsia" w:ascii="宋体" w:hAnsi="宋体" w:eastAsia="宋体" w:cs="宋体"/>
          <w:color w:val="000000" w:themeColor="text1"/>
          <w:sz w:val="28"/>
          <w:szCs w:val="28"/>
          <w:lang w:val="en-US" w:eastAsia="zh-CN"/>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考试科目代码：[</w:t>
      </w:r>
      <w:r>
        <w:rPr>
          <w:rFonts w:hint="eastAsia" w:ascii="仿宋" w:hAnsi="仿宋" w:eastAsia="仿宋" w:cs="仿宋"/>
          <w:color w:val="000000" w:themeColor="text1"/>
          <w:sz w:val="28"/>
          <w:szCs w:val="28"/>
          <w14:textFill>
            <w14:solidFill>
              <w14:schemeClr w14:val="tx1"/>
            </w14:solidFill>
          </w14:textFill>
        </w:rPr>
        <w:t>618</w:t>
      </w:r>
      <w:r>
        <w:rPr>
          <w:rFonts w:hint="eastAsia" w:ascii="宋体" w:hAnsi="宋体" w:eastAsia="宋体" w:cs="宋体"/>
          <w:color w:val="000000" w:themeColor="text1"/>
          <w:sz w:val="28"/>
          <w:szCs w:val="28"/>
          <w14:textFill>
            <w14:solidFill>
              <w14:schemeClr w14:val="tx1"/>
            </w14:solidFill>
          </w14:textFill>
        </w:rPr>
        <w:t>]              考试科目名称：</w:t>
      </w:r>
      <w:r>
        <w:rPr>
          <w:rFonts w:hint="eastAsia" w:ascii="宋体" w:hAnsi="宋体" w:cs="宋体"/>
          <w:color w:val="000000" w:themeColor="text1"/>
          <w:sz w:val="28"/>
          <w:szCs w:val="28"/>
          <w:lang w:val="en-US" w:eastAsia="zh-CN"/>
          <w14:textFill>
            <w14:solidFill>
              <w14:schemeClr w14:val="tx1"/>
            </w14:solidFill>
          </w14:textFill>
        </w:rPr>
        <w:t>数学分析</w:t>
      </w:r>
    </w:p>
    <w:p w14:paraId="6FF52C12">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8"/>
          <w:szCs w:val="28"/>
        </w:rPr>
      </w:pPr>
      <w:r>
        <w:rPr>
          <w:rFonts w:hint="eastAsia" w:ascii="宋体" w:hAnsi="宋体" w:eastAsia="宋体" w:cs="宋体"/>
          <w:szCs w:val="21"/>
        </w:rPr>
        <w:t>﹡﹡﹡﹡﹡﹡﹡﹡﹡﹡﹡﹡﹡﹡﹡﹡﹡﹡﹡﹡﹡﹡﹡﹡﹡﹡﹡﹡﹡﹡﹡﹡﹡﹡﹡﹡﹡﹡﹡</w:t>
      </w:r>
    </w:p>
    <w:p w14:paraId="29F8A03E">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一、考试性质</w:t>
      </w:r>
    </w:p>
    <w:p w14:paraId="6B99D62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w:t>
      </w:r>
      <w:r>
        <w:rPr>
          <w:rFonts w:hint="eastAsia" w:ascii="宋体" w:hAnsi="宋体" w:eastAsia="宋体" w:cs="宋体"/>
          <w:sz w:val="28"/>
          <w:szCs w:val="28"/>
          <w:lang w:val="en-US" w:eastAsia="zh-CN"/>
        </w:rPr>
        <w:t>数学分析</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是</w:t>
      </w:r>
      <w:r>
        <w:rPr>
          <w:rFonts w:hint="eastAsia" w:ascii="宋体" w:hAnsi="宋体" w:cs="宋体"/>
          <w:sz w:val="28"/>
          <w:szCs w:val="28"/>
          <w:lang w:val="en-US" w:eastAsia="zh-CN"/>
        </w:rPr>
        <w:t>数学（学术型）硕士研究生的入学</w:t>
      </w:r>
      <w:r>
        <w:rPr>
          <w:rFonts w:hint="eastAsia" w:ascii="宋体" w:hAnsi="宋体" w:eastAsia="宋体" w:cs="宋体"/>
          <w:sz w:val="28"/>
          <w:szCs w:val="28"/>
          <w:lang w:val="en-US" w:eastAsia="zh-CN"/>
        </w:rPr>
        <w:t>专业</w:t>
      </w:r>
      <w:r>
        <w:rPr>
          <w:rFonts w:hint="eastAsia" w:ascii="宋体" w:hAnsi="宋体" w:cs="宋体"/>
          <w:sz w:val="28"/>
          <w:szCs w:val="28"/>
          <w:lang w:val="en-US" w:eastAsia="zh-CN"/>
        </w:rPr>
        <w:t>考试科目之一</w:t>
      </w:r>
      <w:r>
        <w:rPr>
          <w:rFonts w:hint="eastAsia" w:ascii="宋体" w:hAnsi="宋体" w:eastAsia="宋体" w:cs="宋体"/>
          <w:sz w:val="28"/>
          <w:szCs w:val="28"/>
          <w:lang w:val="en-US" w:eastAsia="zh-CN"/>
        </w:rPr>
        <w:t xml:space="preserve">，它的主要目的是测试考生的数学素质，包括对数学分析各项内容的掌握程度和应用相关知识解决问题的能力。考试对象为参加全国硕士研究生入学考试、报考数学专业的考生。 </w:t>
      </w:r>
    </w:p>
    <w:p w14:paraId="2E57A5AB">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二、评价目标</w:t>
      </w:r>
    </w:p>
    <w:p w14:paraId="7819D44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掌握数学分析的基本概念和基础知识。理解数学分析的基本理论和基本方法。运用数学分析的基本理论和方法来分析、解决相关的实际问题。</w:t>
      </w:r>
    </w:p>
    <w:p w14:paraId="28275A06">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三、考试范围</w:t>
      </w:r>
    </w:p>
    <w:p w14:paraId="1CF7494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（一）实数集与函数</w:t>
      </w:r>
    </w:p>
    <w:p w14:paraId="53833AC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实数的性质、确界原理，函数概念，函数的奇偶性、周期性、有界性、无界性，复合函数和反函数，初等函数。</w:t>
      </w:r>
    </w:p>
    <w:p w14:paraId="332B99B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（二）极限与函数的连续性</w:t>
      </w:r>
    </w:p>
    <w:p w14:paraId="4415CB7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数列和函数极限的概念，极限的四则运算及其性质，单调有界原理，Heine定理，二个重要极限，函数的连续性，间断点，初等函数的连续性及其性质，闭区间上连续函数的性质，无穷小量与无穷大量的比较。</w:t>
      </w:r>
    </w:p>
    <w:p w14:paraId="27BEF0C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cs="宋体"/>
          <w:sz w:val="28"/>
          <w:szCs w:val="28"/>
          <w:lang w:eastAsia="zh-CN"/>
        </w:rPr>
        <w:t>（</w:t>
      </w:r>
      <w:r>
        <w:rPr>
          <w:rFonts w:hint="eastAsia" w:ascii="宋体" w:hAnsi="宋体" w:cs="宋体"/>
          <w:sz w:val="28"/>
          <w:szCs w:val="28"/>
          <w:lang w:val="en-US" w:eastAsia="zh-CN"/>
        </w:rPr>
        <w:t>三</w:t>
      </w:r>
      <w:r>
        <w:rPr>
          <w:rFonts w:hint="eastAsia" w:ascii="宋体" w:hAnsi="宋体" w:cs="宋体"/>
          <w:sz w:val="28"/>
          <w:szCs w:val="28"/>
          <w:lang w:eastAsia="zh-CN"/>
        </w:rPr>
        <w:t>）</w:t>
      </w:r>
      <w:r>
        <w:rPr>
          <w:rFonts w:hint="eastAsia" w:ascii="宋体" w:hAnsi="宋体" w:eastAsia="宋体" w:cs="宋体"/>
          <w:sz w:val="28"/>
          <w:szCs w:val="28"/>
        </w:rPr>
        <w:t>导数与微分</w:t>
      </w:r>
    </w:p>
    <w:p w14:paraId="39F86F3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导数定义，导数的几何意义，导数的四则运算、反函数的求导法则和复合函数求导的链式法则； 隐函数与参数方程确定的函数的求导法则；高阶导数；微分概念与微分的几何解释；微分法则，一阶微分的形式不变性。</w:t>
      </w:r>
    </w:p>
    <w:p w14:paraId="06C9EA0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cs="宋体"/>
          <w:sz w:val="28"/>
          <w:szCs w:val="28"/>
          <w:lang w:eastAsia="zh-CN"/>
        </w:rPr>
        <w:t>（</w:t>
      </w:r>
      <w:r>
        <w:rPr>
          <w:rFonts w:hint="eastAsia" w:ascii="宋体" w:hAnsi="宋体" w:cs="宋体"/>
          <w:sz w:val="28"/>
          <w:szCs w:val="28"/>
          <w:lang w:val="en-US" w:eastAsia="zh-CN"/>
        </w:rPr>
        <w:t>四</w:t>
      </w:r>
      <w:r>
        <w:rPr>
          <w:rFonts w:hint="eastAsia" w:ascii="宋体" w:hAnsi="宋体" w:cs="宋体"/>
          <w:sz w:val="28"/>
          <w:szCs w:val="28"/>
          <w:lang w:eastAsia="zh-CN"/>
        </w:rPr>
        <w:t>）</w:t>
      </w:r>
      <w:r>
        <w:rPr>
          <w:rFonts w:hint="eastAsia" w:ascii="宋体" w:hAnsi="宋体" w:eastAsia="宋体" w:cs="宋体"/>
          <w:sz w:val="28"/>
          <w:szCs w:val="28"/>
        </w:rPr>
        <w:t>微分中值定理及其应用</w:t>
      </w:r>
    </w:p>
    <w:p w14:paraId="7EBB58F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极值概念；</w:t>
      </w:r>
      <w:r>
        <w:rPr>
          <w:rFonts w:hint="eastAsia" w:ascii="宋体" w:hAnsi="宋体" w:eastAsia="宋体" w:cs="宋体"/>
          <w:sz w:val="28"/>
          <w:szCs w:val="28"/>
          <w:lang w:val="fr-FR"/>
        </w:rPr>
        <w:t>Fermat定理和</w:t>
      </w:r>
      <w:r>
        <w:rPr>
          <w:rFonts w:hint="eastAsia" w:ascii="宋体" w:hAnsi="宋体" w:eastAsia="宋体" w:cs="宋体"/>
          <w:sz w:val="28"/>
          <w:szCs w:val="28"/>
        </w:rPr>
        <w:t>微分中值定理</w:t>
      </w:r>
      <w:r>
        <w:rPr>
          <w:rFonts w:hint="eastAsia" w:ascii="宋体" w:hAnsi="宋体" w:eastAsia="宋体" w:cs="宋体"/>
          <w:sz w:val="28"/>
          <w:szCs w:val="28"/>
          <w:lang w:val="fr-FR"/>
        </w:rPr>
        <w:t>(Rolle定理,Lagrange中值定理,Cauchy中值定理)</w:t>
      </w:r>
      <w:r>
        <w:rPr>
          <w:rFonts w:hint="eastAsia" w:ascii="宋体" w:hAnsi="宋体" w:eastAsia="宋体" w:cs="宋体"/>
          <w:sz w:val="28"/>
          <w:szCs w:val="28"/>
        </w:rPr>
        <w:t>；泰勒公式， L'Hospital法则；利用导数研究函数的各种性质(单调性与极值，函数的凸性)； 函数极值的判别法；利用导数求函数的渐近线并且绘制函数的图像。</w:t>
      </w:r>
    </w:p>
    <w:p w14:paraId="071FBE2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（五）实数的完备性</w:t>
      </w:r>
    </w:p>
    <w:p w14:paraId="6C4D1AD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bookmarkStart w:id="0" w:name="OLE_LINK1"/>
      <w:r>
        <w:rPr>
          <w:rFonts w:hint="eastAsia" w:ascii="宋体" w:hAnsi="宋体" w:eastAsia="宋体" w:cs="宋体"/>
          <w:sz w:val="28"/>
          <w:szCs w:val="28"/>
        </w:rPr>
        <w:t>区间套定理；聚点定理；有限覆盖定理</w:t>
      </w:r>
      <w:bookmarkEnd w:id="0"/>
      <w:r>
        <w:rPr>
          <w:rFonts w:hint="eastAsia" w:ascii="宋体" w:hAnsi="宋体" w:eastAsia="宋体" w:cs="宋体"/>
          <w:sz w:val="28"/>
          <w:szCs w:val="28"/>
        </w:rPr>
        <w:t>。</w:t>
      </w:r>
    </w:p>
    <w:p w14:paraId="45FC480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（六）不定积分</w:t>
      </w:r>
    </w:p>
    <w:p w14:paraId="7C9E936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原函数和不定积分的概念；不定积分的基本公式；换元积分法，分部积分法；有理函数的积分；三角函数有理式的积分；某些无理函数的积分。</w:t>
      </w:r>
    </w:p>
    <w:p w14:paraId="3ECAD02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（七）定积分</w:t>
      </w:r>
    </w:p>
    <w:p w14:paraId="635BD6A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定积分概念及其几何意义；定积分的基本性质；函数的一致连续性，康托定理； Newton-Leibniz公式；定积分换元积分法和分部积分法。</w:t>
      </w:r>
    </w:p>
    <w:p w14:paraId="3885C5D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（八）定积分的应用</w:t>
      </w:r>
    </w:p>
    <w:p w14:paraId="1081A87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微元法；定积分在几何上的应用（平面图形的面积，已知截面积的立体体积，旋转体的体积，平面上的光滑曲线的弧长，曲线曲率）；定积分在物理上的应用（总压力问题，变力作功问题）。</w:t>
      </w:r>
    </w:p>
    <w:p w14:paraId="0EC6293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（九）广义积分</w:t>
      </w:r>
    </w:p>
    <w:p w14:paraId="380EDD7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无穷积分和瑕积分的概念及其敛散性（包括绝对收敛和条件收敛），无穷积分和瑕积分的性质，Cauchy收敛准则，比较判别法，积分第二中值定理，Abel阿贝尔判别法和Dirichlet判别法。</w:t>
      </w:r>
    </w:p>
    <w:p w14:paraId="51E2324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（十）数项级数</w:t>
      </w:r>
    </w:p>
    <w:p w14:paraId="189A9FE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数项级数的收敛和发散，级数收敛的必要条件，收敛级数的基本性质，正项级数收敛的判别法(比较判别法、比值判别法、根式判别法、拉阿比判别法、积分判别法) ；交错级数和Leibniz判别法，绝对收敛与条件收敛，柯西收敛原理，Abel变换以及关于一般数项级数的Abel阿贝尔判别法和Dirichlet判别法,级数的重排问题及乘积问题。</w:t>
      </w:r>
    </w:p>
    <w:p w14:paraId="7FD6CC1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（十一） 函数项级数</w:t>
      </w:r>
    </w:p>
    <w:p w14:paraId="0A1028D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函数列一致收敛性概念及其几何意义，函数列一致收敛性的判别法，一致收敛函数列的极限函数的分析性质(连续性、可积性、可微性)；函数项级数一致收敛性概念，一致收敛的Cauchy收敛准则，函数项级数一致收敛的必要条件，函数项级数一致收敛性的判别法 (M判别法、Abel判别法、Dirichlet判别法)，一致收敛的函数项级数的和函数的分析性质(连续性、可积性、可微性)。</w:t>
      </w:r>
    </w:p>
    <w:p w14:paraId="4F16319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（十二） 幂级数</w:t>
      </w:r>
    </w:p>
    <w:p w14:paraId="2FB66CE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幂级数的收敛域和收敛半径，Abel第一定理和第二定理，幂级数和函数的性质(连续性、可积性、可微性)，函数的幂级数展开。</w:t>
      </w:r>
    </w:p>
    <w:p w14:paraId="75F44C3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（十三）傅里叶级数</w:t>
      </w:r>
    </w:p>
    <w:p w14:paraId="3DA2742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三角函数系，三角级数的概念，以2</w:t>
      </w:r>
      <w:r>
        <w:rPr>
          <w:rFonts w:hint="eastAsia" w:ascii="宋体" w:hAnsi="宋体" w:eastAsia="宋体" w:cs="宋体"/>
          <w:sz w:val="28"/>
          <w:szCs w:val="28"/>
        </w:rPr>
        <w:sym w:font="Symbol" w:char="0070"/>
      </w:r>
      <w:r>
        <w:rPr>
          <w:rFonts w:hint="eastAsia" w:ascii="宋体" w:hAnsi="宋体" w:eastAsia="宋体" w:cs="宋体"/>
          <w:sz w:val="28"/>
          <w:szCs w:val="28"/>
        </w:rPr>
        <w:t>为周期的函数的Fourier级数，Fourier级数的收敛定理，函数的Fourier级数展开法。</w:t>
      </w:r>
    </w:p>
    <w:p w14:paraId="30C8157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（十四） 多元函数的极限与连续</w:t>
      </w:r>
    </w:p>
    <w:p w14:paraId="2232489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平面点集的有关概念(区域、距离、聚点、开集和闭集等)，二维空间的基本定理(矩形套定理、致密性定理、Cauchy收敛原理、有限覆盖定理)，多元函数的极限和连续性，多元函数的累次极限，有界闭区域上的连续函数的性质(有界性、最值性、介值性、一致连续性)。</w:t>
      </w:r>
    </w:p>
    <w:p w14:paraId="47BB255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（十五）偏导数与全微分</w:t>
      </w:r>
    </w:p>
    <w:p w14:paraId="1C58DEF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偏导数的概念，全微分的概念，偏导数与微分的关系；多元复合函数的微分法，多元函数一阶微分形式的不变性，高阶偏导数；方向导数的概念及求法，多元函数的Taylor公式。</w:t>
      </w:r>
    </w:p>
    <w:p w14:paraId="47D6B17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（十六）隐函数存在定理</w:t>
      </w:r>
    </w:p>
    <w:p w14:paraId="5048C02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单个方程的隐函数存在定理，方程组的隐函数组存在定理，反函数组存在定理。</w:t>
      </w:r>
    </w:p>
    <w:p w14:paraId="5993606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（十七）极值和条件极值</w:t>
      </w:r>
    </w:p>
    <w:p w14:paraId="3126EC3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多元函数极值（条件极值与无条件极值）概念，稳定点概念，多元函数无条件极值的必要条件和充分条件，求多元函数无 条件极值的Lagrange乘数法。</w:t>
      </w:r>
    </w:p>
    <w:p w14:paraId="6CB3DB6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（十八）含参变量的积分</w:t>
      </w:r>
    </w:p>
    <w:p w14:paraId="27FCEEC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含参变量的正常积分概念，含参变量的正常积分的分析性质（连续性定理、积分次序交换定理与积分号下求导定理），含参变量的正常积分的计算；含参变量的广义积分的一致收敛概念，含参变量的广义积分的一致收敛的判别法（Cauchy收敛原理、Weierstrass判别法、Abel判别法、Dirichlet判别法及Dini定理）；一致收敛积分的分析性质（连续性定理、积分次序交换定理与积分号下求导定理）；Euler积分：Beta函数和Gamma函数的定义、性质、递推公式及二者之间的关系。</w:t>
      </w:r>
    </w:p>
    <w:p w14:paraId="23EED67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（十九） 重积分</w:t>
      </w:r>
    </w:p>
    <w:p w14:paraId="196C564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重积分的概念及其基本性质，化重积分为累次积分的计算方法；重积分的变量代换，极坐标变换，柱坐标变换，球坐标变换；曲面面积的计算，重积分在物理中的应用（质心，转动惯量等）。</w:t>
      </w:r>
    </w:p>
    <w:p w14:paraId="005F9D9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（二十）曲线积分与曲面积分</w:t>
      </w:r>
    </w:p>
    <w:p w14:paraId="4D4F4C5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第一型曲线积分的概念，第一型曲线积分的性质（线性性与路径可加性），第一型曲线积分的计算公式及其应用；第一型曲面积分的概念、计算及应用。第二型曲线积分的概念及性质（方向性、线性性与路径可加性），第二型曲线积分的计算公式及其应用；理解曲面的侧的相关概念，第二型曲面积分的概念及性质（方向性、线性性与曲面可加性），第二型曲面积分的计算及应用。</w:t>
      </w:r>
    </w:p>
    <w:p w14:paraId="6ECE522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（二十一） 各种积分间的联系</w:t>
      </w:r>
    </w:p>
    <w:p w14:paraId="67CFF1D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Green公式，用Green公式计算曲线积分及求区域的面积，曲线积分与路径无关的条件及其应用；Gauss公式及其应用，Stokes公式及其应用。</w:t>
      </w:r>
    </w:p>
    <w:p w14:paraId="72E18465">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四、考试形式和试卷结构</w:t>
      </w:r>
    </w:p>
    <w:p w14:paraId="734F0D7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考试形式为闭卷笔试，考试时间为180分钟。试卷满分为150分，主要题型包括</w:t>
      </w:r>
      <w:r>
        <w:rPr>
          <w:rFonts w:hint="eastAsia" w:ascii="宋体" w:hAnsi="宋体" w:eastAsia="宋体" w:cs="宋体"/>
          <w:sz w:val="28"/>
          <w:szCs w:val="28"/>
          <w:lang w:val="en-US" w:eastAsia="zh-CN"/>
        </w:rPr>
        <w:t>但不限于计算题、解答题、证明题等</w:t>
      </w:r>
      <w:r>
        <w:rPr>
          <w:rFonts w:hint="eastAsia" w:ascii="宋体" w:hAnsi="宋体" w:eastAsia="宋体" w:cs="宋体"/>
          <w:sz w:val="28"/>
          <w:szCs w:val="28"/>
        </w:rPr>
        <w:t>。</w:t>
      </w:r>
    </w:p>
    <w:p w14:paraId="2BC3E2C0">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val="en-US" w:eastAsia="zh-CN"/>
        </w:rPr>
        <w:t>五</w:t>
      </w:r>
      <w:r>
        <w:rPr>
          <w:rFonts w:hint="eastAsia" w:ascii="宋体" w:hAnsi="宋体" w:eastAsia="宋体" w:cs="宋体"/>
          <w:b/>
          <w:bCs/>
          <w:sz w:val="28"/>
          <w:szCs w:val="28"/>
        </w:rPr>
        <w:t>、主要参考书</w:t>
      </w:r>
      <w:r>
        <w:rPr>
          <w:rFonts w:hint="eastAsia" w:ascii="宋体" w:hAnsi="宋体" w:eastAsia="宋体" w:cs="宋体"/>
          <w:b/>
          <w:bCs/>
          <w:sz w:val="28"/>
          <w:szCs w:val="28"/>
          <w:lang w:eastAsia="zh-CN"/>
        </w:rPr>
        <w:t>目</w:t>
      </w:r>
    </w:p>
    <w:p w14:paraId="30E721F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1.《数学分析》（上、下）（第五版），华东师</w:t>
      </w:r>
      <w:r>
        <w:rPr>
          <w:rFonts w:hint="eastAsia" w:ascii="宋体" w:hAnsi="宋体" w:cs="宋体"/>
          <w:sz w:val="28"/>
          <w:szCs w:val="28"/>
          <w:lang w:val="en-US" w:eastAsia="zh-CN"/>
        </w:rPr>
        <w:t xml:space="preserve">范大学数学科学学院 </w:t>
      </w:r>
      <w:bookmarkStart w:id="1" w:name="_GoBack"/>
      <w:bookmarkEnd w:id="1"/>
      <w:r>
        <w:rPr>
          <w:rFonts w:hint="eastAsia" w:ascii="宋体" w:hAnsi="宋体" w:eastAsia="宋体" w:cs="宋体"/>
          <w:sz w:val="28"/>
          <w:szCs w:val="28"/>
          <w:lang w:val="en-US" w:eastAsia="zh-CN"/>
        </w:rPr>
        <w:t>编，高等教育出版社，2019。</w:t>
      </w:r>
    </w:p>
    <w:p w14:paraId="25445D46">
      <w:pPr>
        <w:widowControl/>
        <w:spacing w:before="100" w:beforeAutospacing="1" w:after="100" w:afterAutospacing="1"/>
        <w:jc w:val="left"/>
        <w:rPr>
          <w:rFonts w:ascii="Verdana" w:hAnsi="Verdana" w:cs="宋体"/>
          <w:kern w:val="0"/>
          <w:sz w:val="18"/>
          <w:szCs w:val="18"/>
        </w:rPr>
      </w:pPr>
    </w:p>
    <w:p w14:paraId="2CD5386E">
      <w:pPr>
        <w:widowControl/>
        <w:spacing w:before="100" w:beforeAutospacing="1" w:after="100" w:afterAutospacing="1"/>
        <w:jc w:val="left"/>
        <w:rPr>
          <w:rFonts w:ascii="Verdana" w:hAnsi="Verdana" w:cs="宋体"/>
          <w:kern w:val="0"/>
          <w:sz w:val="18"/>
          <w:szCs w:val="18"/>
        </w:rPr>
      </w:pPr>
    </w:p>
    <w:p w14:paraId="110431A0">
      <w:pPr>
        <w:widowControl/>
        <w:spacing w:before="100" w:beforeAutospacing="1" w:after="100" w:afterAutospacing="1"/>
        <w:jc w:val="left"/>
        <w:rPr>
          <w:rFonts w:ascii="Verdana" w:hAnsi="Verdana" w:cs="宋体"/>
          <w:kern w:val="0"/>
          <w:sz w:val="18"/>
          <w:szCs w:val="18"/>
        </w:rPr>
      </w:pPr>
    </w:p>
    <w:p w14:paraId="6B4EFB0B">
      <w:pPr>
        <w:widowControl/>
        <w:spacing w:before="100" w:beforeAutospacing="1" w:after="100" w:afterAutospacing="1"/>
        <w:jc w:val="left"/>
        <w:rPr>
          <w:rFonts w:ascii="Verdana" w:hAnsi="Verdana" w:cs="宋体"/>
          <w:kern w:val="0"/>
          <w:sz w:val="18"/>
          <w:szCs w:val="18"/>
        </w:rPr>
      </w:pPr>
    </w:p>
    <w:p w14:paraId="6753B3BB">
      <w:pPr>
        <w:widowControl/>
        <w:spacing w:before="100" w:beforeAutospacing="1" w:after="100" w:afterAutospacing="1"/>
        <w:jc w:val="left"/>
        <w:rPr>
          <w:rFonts w:ascii="Verdana" w:hAnsi="Verdana" w:cs="宋体"/>
          <w:kern w:val="0"/>
          <w:sz w:val="18"/>
          <w:szCs w:val="18"/>
        </w:rPr>
      </w:pPr>
    </w:p>
    <w:p w14:paraId="003C3BD9">
      <w:pPr>
        <w:widowControl/>
        <w:spacing w:before="100" w:beforeAutospacing="1" w:after="100" w:afterAutospacing="1"/>
        <w:jc w:val="left"/>
        <w:rPr>
          <w:rFonts w:ascii="Verdana" w:hAnsi="Verdana" w:cs="宋体"/>
          <w:kern w:val="0"/>
          <w:sz w:val="18"/>
          <w:szCs w:val="18"/>
        </w:rPr>
      </w:pPr>
    </w:p>
    <w:p w14:paraId="44617BC9">
      <w:pPr>
        <w:widowControl/>
        <w:spacing w:before="100" w:beforeAutospacing="1" w:after="100" w:afterAutospacing="1"/>
        <w:jc w:val="left"/>
        <w:rPr>
          <w:rFonts w:ascii="Verdana" w:hAnsi="Verdana" w:cs="宋体"/>
          <w:kern w:val="0"/>
          <w:sz w:val="18"/>
          <w:szCs w:val="18"/>
        </w:rPr>
      </w:pPr>
    </w:p>
    <w:p w14:paraId="2CF2703D">
      <w:pPr>
        <w:widowControl/>
        <w:spacing w:before="100" w:beforeAutospacing="1" w:after="100" w:afterAutospacing="1"/>
        <w:jc w:val="left"/>
        <w:rPr>
          <w:rFonts w:ascii="Verdana" w:hAnsi="Verdana" w:cs="宋体"/>
          <w:kern w:val="0"/>
          <w:sz w:val="18"/>
          <w:szCs w:val="18"/>
        </w:rPr>
      </w:pPr>
    </w:p>
    <w:p w14:paraId="0F770E7B">
      <w:pPr>
        <w:widowControl/>
        <w:spacing w:before="100" w:beforeAutospacing="1" w:after="100" w:afterAutospacing="1"/>
        <w:jc w:val="left"/>
        <w:rPr>
          <w:rFonts w:ascii="Verdana" w:hAnsi="Verdana" w:cs="宋体"/>
          <w:kern w:val="0"/>
          <w:sz w:val="18"/>
          <w:szCs w:val="18"/>
        </w:rPr>
      </w:pPr>
    </w:p>
    <w:p w14:paraId="2BEA159E">
      <w:pPr>
        <w:widowControl/>
        <w:spacing w:before="100" w:beforeAutospacing="1" w:after="100" w:afterAutospacing="1"/>
        <w:jc w:val="left"/>
        <w:rPr>
          <w:rFonts w:ascii="Verdana" w:hAnsi="Verdana" w:cs="宋体"/>
          <w:kern w:val="0"/>
          <w:sz w:val="18"/>
          <w:szCs w:val="18"/>
        </w:rPr>
      </w:pPr>
    </w:p>
    <w:p w14:paraId="04E5445D">
      <w:pPr>
        <w:widowControl/>
        <w:spacing w:before="100" w:beforeAutospacing="1" w:after="100" w:afterAutospacing="1"/>
        <w:jc w:val="left"/>
        <w:rPr>
          <w:rFonts w:ascii="Verdana" w:hAnsi="Verdana" w:cs="宋体"/>
          <w:kern w:val="0"/>
          <w:sz w:val="18"/>
          <w:szCs w:val="18"/>
        </w:rPr>
      </w:pPr>
    </w:p>
    <w:p w14:paraId="5A536FF4">
      <w:pPr>
        <w:widowControl/>
        <w:spacing w:before="100" w:beforeAutospacing="1" w:after="100" w:afterAutospacing="1"/>
        <w:jc w:val="left"/>
        <w:rPr>
          <w:rFonts w:ascii="Verdana" w:hAnsi="Verdana" w:cs="宋体"/>
          <w:kern w:val="0"/>
          <w:sz w:val="18"/>
          <w:szCs w:val="18"/>
        </w:rPr>
      </w:pPr>
    </w:p>
    <w:p w14:paraId="094E6D12">
      <w:pPr>
        <w:widowControl/>
        <w:spacing w:before="100" w:beforeAutospacing="1" w:after="100" w:afterAutospacing="1"/>
        <w:jc w:val="left"/>
        <w:rPr>
          <w:rFonts w:ascii="Verdana" w:hAnsi="Verdana" w:cs="宋体"/>
          <w:kern w:val="0"/>
          <w:sz w:val="18"/>
          <w:szCs w:val="18"/>
        </w:rPr>
      </w:pPr>
    </w:p>
    <w:p w14:paraId="6060DE7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p>
    <w:p w14:paraId="7165984C">
      <w:pPr>
        <w:widowControl/>
        <w:spacing w:before="100" w:beforeAutospacing="1" w:after="100" w:afterAutospacing="1"/>
        <w:jc w:val="left"/>
        <w:rPr>
          <w:rFonts w:ascii="Verdana" w:hAnsi="Verdana" w:cs="宋体"/>
          <w:kern w:val="0"/>
          <w:sz w:val="18"/>
          <w:szCs w:val="18"/>
        </w:rPr>
      </w:pPr>
    </w:p>
    <w:p w14:paraId="435C4F9A">
      <w:pPr>
        <w:widowControl/>
        <w:spacing w:before="100" w:beforeAutospacing="1" w:after="100" w:afterAutospacing="1"/>
        <w:jc w:val="left"/>
        <w:rPr>
          <w:rFonts w:ascii="Verdana" w:hAnsi="Verdana" w:cs="宋体"/>
          <w:kern w:val="0"/>
          <w:sz w:val="18"/>
          <w:szCs w:val="18"/>
        </w:rPr>
      </w:pPr>
    </w:p>
    <w:p w14:paraId="51FB2D42"/>
    <w:p w14:paraId="08D93E0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embedRegular r:id="rId1" w:fontKey="{7BEEA64E-9132-4B46-9434-1F05CA4B0A4B}"/>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2" w:fontKey="{F4789494-3495-490E-BFD7-62C6BFB847FF}"/>
  </w:font>
  <w:font w:name="仿宋">
    <w:panose1 w:val="02010609060101010101"/>
    <w:charset w:val="86"/>
    <w:family w:val="modern"/>
    <w:pitch w:val="default"/>
    <w:sig w:usb0="800002BF" w:usb1="38CF7CFA" w:usb2="00000016" w:usb3="00000000" w:csb0="00040001" w:csb1="00000000"/>
    <w:embedRegular r:id="rId3" w:fontKey="{B9547ADC-4EA1-4097-BFEA-F4D4FF0FFCAA}"/>
  </w:font>
  <w:font w:name="Verdana">
    <w:panose1 w:val="020B0604030504040204"/>
    <w:charset w:val="00"/>
    <w:family w:val="auto"/>
    <w:pitch w:val="default"/>
    <w:sig w:usb0="A00006FF" w:usb1="4000205B" w:usb2="00000010" w:usb3="00000000" w:csb0="2000019F" w:csb1="00000000"/>
    <w:embedRegular r:id="rId4" w:fontKey="{A235CD71-D9BF-48BE-AD3B-26786CF98209}"/>
  </w:font>
  <w:font w:name="WPSEMBED2">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zZGI5NTY1MmViMjc5NTgwYWNmOTdlZTk5MDA4OWEifQ=="/>
  </w:docVars>
  <w:rsids>
    <w:rsidRoot w:val="000618D6"/>
    <w:rsid w:val="000004FA"/>
    <w:rsid w:val="000618D6"/>
    <w:rsid w:val="000706BA"/>
    <w:rsid w:val="00270FE2"/>
    <w:rsid w:val="00330E58"/>
    <w:rsid w:val="0037423B"/>
    <w:rsid w:val="00637B77"/>
    <w:rsid w:val="007E44BE"/>
    <w:rsid w:val="008A7612"/>
    <w:rsid w:val="009418E3"/>
    <w:rsid w:val="009764CF"/>
    <w:rsid w:val="009E5A96"/>
    <w:rsid w:val="00A17AA7"/>
    <w:rsid w:val="03535FAF"/>
    <w:rsid w:val="0B441F0D"/>
    <w:rsid w:val="1D265AB4"/>
    <w:rsid w:val="28542118"/>
    <w:rsid w:val="2E2831C7"/>
    <w:rsid w:val="355C4EA8"/>
    <w:rsid w:val="365729F6"/>
    <w:rsid w:val="523F66C4"/>
    <w:rsid w:val="5CA2120C"/>
    <w:rsid w:val="750204D5"/>
    <w:rsid w:val="755E3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autoRedefin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1</Company>
  <Pages>7</Pages>
  <Words>2412</Words>
  <Characters>2626</Characters>
  <Lines>11</Lines>
  <Paragraphs>3</Paragraphs>
  <TotalTime>4</TotalTime>
  <ScaleCrop>false</ScaleCrop>
  <LinksUpToDate>false</LinksUpToDate>
  <CharactersWithSpaces>2654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孟杰</cp:lastModifiedBy>
  <dcterms:modified xsi:type="dcterms:W3CDTF">2025-09-09T07:54:49Z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10CDFE4E54514FD8AC3035BD5153DFB4_13</vt:lpwstr>
  </property>
  <property fmtid="{D5CDD505-2E9C-101B-9397-08002B2CF9AE}" pid="4" name="KSOTemplateDocerSaveRecord">
    <vt:lpwstr>eyJoZGlkIjoiOTE1NjBjMDZmN2M2ODY3NzFhNjcxZjQ2OTJkOTFhZjkiLCJ1c2VySWQiOiIzMTUyNjQ0ODYifQ==</vt:lpwstr>
  </property>
</Properties>
</file>